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eastAsia="zh-CN"/>
        </w:rPr>
      </w:pPr>
      <w:r>
        <w:rPr>
          <w:rFonts w:hint="eastAsia" w:ascii="黑体" w:hAnsi="黑体" w:eastAsia="黑体" w:cs="黑体"/>
          <w:sz w:val="32"/>
          <w:szCs w:val="32"/>
          <w:lang w:eastAsia="zh-CN"/>
        </w:rPr>
        <w:t>附件</w:t>
      </w:r>
    </w:p>
    <w:p>
      <w:pPr>
        <w:keepNext w:val="0"/>
        <w:keepLines w:val="0"/>
        <w:pageBreakBefore w:val="0"/>
        <w:widowControl w:val="0"/>
        <w:kinsoku/>
        <w:wordWrap/>
        <w:overflowPunct/>
        <w:topLinePunct w:val="0"/>
        <w:autoSpaceDE/>
        <w:autoSpaceDN/>
        <w:bidi w:val="0"/>
        <w:adjustRightInd/>
        <w:snapToGrid/>
        <w:spacing w:line="680" w:lineRule="exact"/>
        <w:jc w:val="center"/>
        <w:textAlignment w:val="auto"/>
        <w:outlineLvl w:val="9"/>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2019年天津市雏鹰和瞪羚企业评价</w:t>
      </w:r>
      <w:r>
        <w:rPr>
          <w:rFonts w:hint="eastAsia" w:ascii="方正小标宋简体" w:hAnsi="方正小标宋简体" w:eastAsia="方正小标宋简体" w:cs="方正小标宋简体"/>
          <w:sz w:val="44"/>
          <w:szCs w:val="44"/>
          <w:lang w:eastAsia="zh-CN"/>
        </w:rPr>
        <w:t>工作</w:t>
      </w:r>
      <w:bookmarkStart w:id="0" w:name="_GoBack"/>
      <w:bookmarkEnd w:id="0"/>
      <w:r>
        <w:rPr>
          <w:rFonts w:hint="eastAsia" w:ascii="方正小标宋简体" w:hAnsi="方正小标宋简体" w:eastAsia="方正小标宋简体" w:cs="方正小标宋简体"/>
          <w:sz w:val="44"/>
          <w:szCs w:val="44"/>
        </w:rPr>
        <w:t>手册</w:t>
      </w:r>
    </w:p>
    <w:p>
      <w:pPr>
        <w:jc w:val="center"/>
        <w:rPr>
          <w:rFonts w:ascii="方正小标宋简体" w:hAnsi="方正小标宋简体" w:eastAsia="方正小标宋简体" w:cs="方正小标宋简体"/>
          <w:sz w:val="44"/>
          <w:szCs w:val="44"/>
        </w:rPr>
      </w:pPr>
    </w:p>
    <w:p>
      <w:pPr>
        <w:snapToGrid w:val="0"/>
        <w:spacing w:line="560" w:lineRule="exact"/>
        <w:ind w:firstLine="643" w:firstLineChars="200"/>
        <w:rPr>
          <w:rFonts w:hint="eastAsia" w:eastAsia="仿宋_GB2312"/>
          <w:b/>
          <w:bCs/>
          <w:snapToGrid w:val="0"/>
          <w:sz w:val="32"/>
          <w:szCs w:val="32"/>
        </w:rPr>
      </w:pPr>
      <w:r>
        <w:rPr>
          <w:rFonts w:hint="eastAsia" w:eastAsia="仿宋_GB2312"/>
          <w:b/>
          <w:bCs/>
          <w:snapToGrid w:val="0"/>
          <w:sz w:val="32"/>
          <w:szCs w:val="32"/>
        </w:rPr>
        <w:t>特别说明：</w:t>
      </w:r>
    </w:p>
    <w:p>
      <w:pPr>
        <w:snapToGrid w:val="0"/>
        <w:spacing w:line="560" w:lineRule="exact"/>
        <w:ind w:firstLine="640" w:firstLineChars="200"/>
        <w:rPr>
          <w:rFonts w:hint="eastAsia" w:eastAsia="仿宋_GB2312"/>
          <w:bCs/>
          <w:snapToGrid w:val="0"/>
          <w:sz w:val="32"/>
          <w:szCs w:val="32"/>
        </w:rPr>
      </w:pPr>
      <w:r>
        <w:rPr>
          <w:rFonts w:hint="eastAsia" w:eastAsia="仿宋_GB2312"/>
          <w:bCs/>
          <w:snapToGrid w:val="0"/>
          <w:sz w:val="32"/>
          <w:szCs w:val="32"/>
        </w:rPr>
        <w:t>1、已获得天津市科技领军（培育）企业项目支持的企业，不得再申报雏鹰企业、瞪羚企业。</w:t>
      </w:r>
      <w:r>
        <w:rPr>
          <w:rFonts w:hint="eastAsia" w:eastAsia="仿宋_GB2312"/>
          <w:snapToGrid w:val="0"/>
          <w:kern w:val="0"/>
          <w:sz w:val="32"/>
          <w:szCs w:val="32"/>
        </w:rPr>
        <w:t>同一企业在同一申报年度不得同时申报天津市雏鹰企业和瞪羚企业。</w:t>
      </w:r>
    </w:p>
    <w:p>
      <w:pPr>
        <w:snapToGrid w:val="0"/>
        <w:spacing w:line="560" w:lineRule="exact"/>
        <w:ind w:firstLine="640" w:firstLineChars="200"/>
        <w:rPr>
          <w:rFonts w:eastAsia="仿宋_GB2312"/>
          <w:snapToGrid w:val="0"/>
          <w:kern w:val="0"/>
          <w:sz w:val="32"/>
          <w:szCs w:val="32"/>
        </w:rPr>
      </w:pPr>
      <w:r>
        <w:rPr>
          <w:rFonts w:hint="eastAsia" w:eastAsia="仿宋_GB2312"/>
          <w:bCs/>
          <w:snapToGrid w:val="0"/>
          <w:sz w:val="32"/>
          <w:szCs w:val="32"/>
        </w:rPr>
        <w:t>2、</w:t>
      </w:r>
      <w:r>
        <w:rPr>
          <w:rFonts w:hint="eastAsia" w:eastAsia="仿宋_GB2312"/>
          <w:snapToGrid w:val="0"/>
          <w:sz w:val="32"/>
          <w:szCs w:val="32"/>
        </w:rPr>
        <w:t>“天津市雏鹰和瞪羚企业评价服务系统”（以下简称“评价系统”）已经嵌入了2011—2018</w:t>
      </w:r>
      <w:r>
        <w:rPr>
          <w:rFonts w:hint="eastAsia" w:eastAsia="仿宋_GB2312"/>
          <w:sz w:val="32"/>
          <w:szCs w:val="32"/>
        </w:rPr>
        <w:t>天津市企业获得国家和市级科技奖励信息、获得国家和市级创新创业大赛（科技口）信息、承担天津市科技计划项目信息、拥有省部级以上研发机构（科技口）信息、有效高企信息等；此外</w:t>
      </w:r>
      <w:r>
        <w:rPr>
          <w:rFonts w:hint="eastAsia" w:eastAsia="仿宋_GB2312"/>
          <w:sz w:val="32"/>
          <w:szCs w:val="32"/>
          <w:lang w:eastAsia="zh-CN"/>
        </w:rPr>
        <w:t>，</w:t>
      </w:r>
      <w:r>
        <w:rPr>
          <w:rFonts w:hint="eastAsia" w:eastAsia="仿宋_GB2312"/>
          <w:snapToGrid w:val="0"/>
          <w:sz w:val="32"/>
          <w:szCs w:val="32"/>
        </w:rPr>
        <w:t>“评价系统”</w:t>
      </w:r>
      <w:r>
        <w:rPr>
          <w:rFonts w:hint="eastAsia" w:eastAsia="仿宋_GB2312"/>
          <w:sz w:val="32"/>
          <w:szCs w:val="32"/>
        </w:rPr>
        <w:t>能够实时获取企业拥有的有效期内的知识产权（</w:t>
      </w:r>
      <w:r>
        <w:rPr>
          <w:rFonts w:eastAsia="仿宋_GB2312"/>
          <w:snapToGrid w:val="0"/>
          <w:sz w:val="32"/>
          <w:szCs w:val="32"/>
        </w:rPr>
        <w:t>发明专利、实用新型专利、外观设计专利</w:t>
      </w:r>
      <w:r>
        <w:rPr>
          <w:rFonts w:hint="eastAsia" w:eastAsia="仿宋_GB2312"/>
          <w:snapToGrid w:val="0"/>
          <w:sz w:val="32"/>
          <w:szCs w:val="32"/>
        </w:rPr>
        <w:t>）</w:t>
      </w:r>
      <w:r>
        <w:rPr>
          <w:rFonts w:hint="eastAsia" w:eastAsia="仿宋_GB2312"/>
          <w:sz w:val="32"/>
          <w:szCs w:val="32"/>
        </w:rPr>
        <w:t>信息。企业填报时，这些信息会自动从系统中抓取，不需要企业</w:t>
      </w:r>
      <w:r>
        <w:rPr>
          <w:rFonts w:hint="eastAsia" w:eastAsia="仿宋_GB2312"/>
          <w:snapToGrid w:val="0"/>
          <w:kern w:val="0"/>
          <w:sz w:val="32"/>
          <w:szCs w:val="32"/>
        </w:rPr>
        <w:t>上传相关佐证材料。</w:t>
      </w:r>
      <w:r>
        <w:rPr>
          <w:rFonts w:hint="eastAsia" w:eastAsia="仿宋_GB2312"/>
          <w:snapToGrid w:val="0"/>
          <w:sz w:val="32"/>
          <w:szCs w:val="32"/>
        </w:rPr>
        <w:t>“评价系统”</w:t>
      </w:r>
      <w:r>
        <w:rPr>
          <w:rFonts w:hint="eastAsia" w:eastAsia="仿宋_GB2312"/>
          <w:snapToGrid w:val="0"/>
          <w:kern w:val="0"/>
          <w:sz w:val="32"/>
          <w:szCs w:val="32"/>
        </w:rPr>
        <w:t>不能获取的，企业需要上传相关佐证材料。</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一、关于企业承诺书</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1、承诺书需要法定代表人签字或盖法人代表签名章；</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2、需要加盖企业公章；</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3、填写正确日期，企业在“评价系统”上第一次提交的评价信息时间不得晚于承诺书日期后的</w:t>
      </w:r>
      <w:r>
        <w:rPr>
          <w:rFonts w:ascii="Times New Roman" w:hAnsi="Times New Roman" w:eastAsia="仿宋_GB2312" w:cs="Times New Roman"/>
          <w:snapToGrid w:val="0"/>
          <w:sz w:val="32"/>
          <w:szCs w:val="32"/>
        </w:rPr>
        <w:t>3</w:t>
      </w:r>
      <w:r>
        <w:rPr>
          <w:rFonts w:hint="eastAsia" w:ascii="Times New Roman" w:hAnsi="Times New Roman" w:eastAsia="仿宋_GB2312" w:cs="Times New Roman"/>
          <w:snapToGrid w:val="0"/>
          <w:sz w:val="32"/>
          <w:szCs w:val="32"/>
        </w:rPr>
        <w:t>个工作日时间。企业参加评价时间以企业在“评价系统”上第一次提交的评价信息时间为准。</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4、原件扫描上传。</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3895090" cy="5195570"/>
            <wp:effectExtent l="0" t="0" r="10160" b="508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5" cstate="print"/>
                    <a:srcRect/>
                    <a:stretch>
                      <a:fillRect/>
                    </a:stretch>
                  </pic:blipFill>
                  <pic:spPr>
                    <a:xfrm>
                      <a:off x="0" y="0"/>
                      <a:ext cx="3895090" cy="5195570"/>
                    </a:xfrm>
                    <a:prstGeom prst="rect">
                      <a:avLst/>
                    </a:prstGeom>
                  </pic:spPr>
                </pic:pic>
              </a:graphicData>
            </a:graphic>
          </wp:inline>
        </w:drawing>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二、基期</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《评价办法》所指的基期指企业参与申报评价当年（即</w:t>
      </w:r>
      <w:r>
        <w:rPr>
          <w:rFonts w:ascii="Times New Roman" w:hAnsi="Times New Roman" w:eastAsia="仿宋_GB2312" w:cs="Times New Roman"/>
          <w:snapToGrid w:val="0"/>
          <w:sz w:val="32"/>
          <w:szCs w:val="32"/>
        </w:rPr>
        <w:t>n</w:t>
      </w:r>
      <w:r>
        <w:rPr>
          <w:rFonts w:hint="eastAsia" w:ascii="Times New Roman" w:hAnsi="Times New Roman" w:eastAsia="仿宋_GB2312" w:cs="Times New Roman"/>
          <w:snapToGrid w:val="0"/>
          <w:sz w:val="32"/>
          <w:szCs w:val="32"/>
        </w:rPr>
        <w:t>年）之前的第四个年度，即</w:t>
      </w:r>
      <w:r>
        <w:rPr>
          <w:rFonts w:ascii="Times New Roman" w:hAnsi="Times New Roman" w:eastAsia="仿宋_GB2312" w:cs="Times New Roman"/>
          <w:snapToGrid w:val="0"/>
          <w:sz w:val="32"/>
          <w:szCs w:val="32"/>
        </w:rPr>
        <w:t>n-4</w:t>
      </w:r>
      <w:r>
        <w:rPr>
          <w:rFonts w:hint="eastAsia" w:ascii="Times New Roman" w:hAnsi="Times New Roman" w:eastAsia="仿宋_GB2312" w:cs="Times New Roman"/>
          <w:snapToGrid w:val="0"/>
          <w:sz w:val="32"/>
          <w:szCs w:val="32"/>
        </w:rPr>
        <w:t>年，例如：若企业</w:t>
      </w:r>
      <w:r>
        <w:rPr>
          <w:rFonts w:ascii="Times New Roman" w:hAnsi="Times New Roman" w:eastAsia="仿宋_GB2312" w:cs="Times New Roman"/>
          <w:snapToGrid w:val="0"/>
          <w:sz w:val="32"/>
          <w:szCs w:val="32"/>
        </w:rPr>
        <w:t>2019</w:t>
      </w:r>
      <w:r>
        <w:rPr>
          <w:rFonts w:hint="eastAsia" w:ascii="Times New Roman" w:hAnsi="Times New Roman" w:eastAsia="仿宋_GB2312" w:cs="Times New Roman"/>
          <w:snapToGrid w:val="0"/>
          <w:sz w:val="32"/>
          <w:szCs w:val="32"/>
        </w:rPr>
        <w:t>年参与申报评价，则基期即为</w:t>
      </w:r>
      <w:r>
        <w:rPr>
          <w:rFonts w:ascii="Times New Roman" w:hAnsi="Times New Roman" w:eastAsia="仿宋_GB2312" w:cs="Times New Roman"/>
          <w:snapToGrid w:val="0"/>
          <w:sz w:val="32"/>
          <w:szCs w:val="32"/>
        </w:rPr>
        <w:t>2019-4=2015</w:t>
      </w:r>
      <w:r>
        <w:rPr>
          <w:rFonts w:hint="eastAsia" w:ascii="Times New Roman" w:hAnsi="Times New Roman" w:eastAsia="仿宋_GB2312" w:cs="Times New Roman"/>
          <w:snapToGrid w:val="0"/>
          <w:sz w:val="32"/>
          <w:szCs w:val="32"/>
        </w:rPr>
        <w:t>年，以此类推。</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三、末期</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《评价办法》所指的末期指企业参与申报评价当年（即</w:t>
      </w:r>
      <w:r>
        <w:rPr>
          <w:rFonts w:ascii="Times New Roman" w:hAnsi="Times New Roman" w:eastAsia="仿宋_GB2312" w:cs="Times New Roman"/>
          <w:snapToGrid w:val="0"/>
          <w:sz w:val="32"/>
          <w:szCs w:val="32"/>
        </w:rPr>
        <w:t>n</w:t>
      </w:r>
      <w:r>
        <w:rPr>
          <w:rFonts w:hint="eastAsia" w:ascii="Times New Roman" w:hAnsi="Times New Roman" w:eastAsia="仿宋_GB2312" w:cs="Times New Roman"/>
          <w:snapToGrid w:val="0"/>
          <w:sz w:val="32"/>
          <w:szCs w:val="32"/>
        </w:rPr>
        <w:t>年）之前的第一个年度，即</w:t>
      </w:r>
      <w:r>
        <w:rPr>
          <w:rFonts w:ascii="Times New Roman" w:hAnsi="Times New Roman" w:eastAsia="仿宋_GB2312" w:cs="Times New Roman"/>
          <w:snapToGrid w:val="0"/>
          <w:sz w:val="32"/>
          <w:szCs w:val="32"/>
        </w:rPr>
        <w:t>n-1</w:t>
      </w:r>
      <w:r>
        <w:rPr>
          <w:rFonts w:hint="eastAsia" w:ascii="Times New Roman" w:hAnsi="Times New Roman" w:eastAsia="仿宋_GB2312" w:cs="Times New Roman"/>
          <w:snapToGrid w:val="0"/>
          <w:sz w:val="32"/>
          <w:szCs w:val="32"/>
        </w:rPr>
        <w:t>年，例如：若企业</w:t>
      </w:r>
      <w:r>
        <w:rPr>
          <w:rFonts w:ascii="Times New Roman" w:hAnsi="Times New Roman" w:eastAsia="仿宋_GB2312" w:cs="Times New Roman"/>
          <w:snapToGrid w:val="0"/>
          <w:sz w:val="32"/>
          <w:szCs w:val="32"/>
        </w:rPr>
        <w:t>2019</w:t>
      </w:r>
      <w:r>
        <w:rPr>
          <w:rFonts w:hint="eastAsia" w:ascii="Times New Roman" w:hAnsi="Times New Roman" w:eastAsia="仿宋_GB2312" w:cs="Times New Roman"/>
          <w:snapToGrid w:val="0"/>
          <w:sz w:val="32"/>
          <w:szCs w:val="32"/>
        </w:rPr>
        <w:t>年参与申报评价，则末期即为</w:t>
      </w:r>
      <w:r>
        <w:rPr>
          <w:rFonts w:ascii="Times New Roman" w:hAnsi="Times New Roman" w:eastAsia="仿宋_GB2312" w:cs="Times New Roman"/>
          <w:snapToGrid w:val="0"/>
          <w:sz w:val="32"/>
          <w:szCs w:val="32"/>
        </w:rPr>
        <w:t>2019-1=2018</w:t>
      </w:r>
      <w:r>
        <w:rPr>
          <w:rFonts w:hint="eastAsia" w:ascii="Times New Roman" w:hAnsi="Times New Roman" w:eastAsia="仿宋_GB2312" w:cs="Times New Roman"/>
          <w:snapToGrid w:val="0"/>
          <w:sz w:val="32"/>
          <w:szCs w:val="32"/>
        </w:rPr>
        <w:t>年，以此类推。</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四、复合增长率</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《评价办法》所指的复合增长率指企业相应指标从基期到末期的年均增长率。其中：</w:t>
      </w:r>
    </w:p>
    <w:p>
      <w:pPr>
        <w:pStyle w:val="5"/>
        <w:widowControl w:val="0"/>
        <w:adjustRightInd w:val="0"/>
        <w:spacing w:before="0" w:beforeAutospacing="0" w:after="0" w:afterAutospacing="0"/>
        <w:ind w:firstLine="640" w:firstLineChars="20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营业收入复合增长率</w:t>
      </w: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rPr>
        <w:t>（</w:t>
      </w:r>
      <m:oMath>
        <m:rad>
          <m:radPr>
            <m:ctrlPr>
              <w:rPr>
                <w:rFonts w:ascii="Cambria Math" w:hAnsi="Cambria Math" w:eastAsia="仿宋_GB2312"/>
                <w:sz w:val="32"/>
                <w:szCs w:val="32"/>
              </w:rPr>
            </m:ctrlPr>
          </m:radPr>
          <m:deg>
            <m:r>
              <m:rPr>
                <m:sty m:val="p"/>
              </m:rPr>
              <w:rPr>
                <w:rFonts w:hint="eastAsia" w:ascii="Cambria Math" w:hAnsi="Cambria Math" w:eastAsia="仿宋_GB2312"/>
                <w:sz w:val="32"/>
                <w:szCs w:val="32"/>
              </w:rPr>
              <m:t>末期年</m:t>
            </m:r>
            <m:r>
              <m:rPr>
                <m:sty m:val="p"/>
              </m:rPr>
              <w:rPr>
                <w:rFonts w:ascii="Cambria Math" w:hAnsi="Cambria Math" w:eastAsia="仿宋_GB2312"/>
                <w:sz w:val="32"/>
                <w:szCs w:val="32"/>
              </w:rPr>
              <m:t>-</m:t>
            </m:r>
            <m:r>
              <m:rPr>
                <m:sty m:val="p"/>
              </m:rPr>
              <w:rPr>
                <w:rFonts w:hint="eastAsia" w:ascii="Cambria Math" w:hAnsi="Cambria Math" w:eastAsia="仿宋_GB2312"/>
                <w:sz w:val="32"/>
                <w:szCs w:val="32"/>
              </w:rPr>
              <m:t>基期年</m:t>
            </m:r>
            <m:ctrlPr>
              <w:rPr>
                <w:rFonts w:ascii="Cambria Math" w:hAnsi="Cambria Math" w:eastAsia="仿宋_GB2312"/>
                <w:sz w:val="32"/>
                <w:szCs w:val="32"/>
              </w:rPr>
            </m:ctrlPr>
          </m:deg>
          <m:e>
            <m:f>
              <m:fPr>
                <m:ctrlPr>
                  <w:rPr>
                    <w:rFonts w:ascii="Cambria Math" w:hAnsi="Cambria Math" w:eastAsia="仿宋_GB2312"/>
                    <w:sz w:val="32"/>
                    <w:szCs w:val="32"/>
                  </w:rPr>
                </m:ctrlPr>
              </m:fPr>
              <m:num>
                <m:r>
                  <m:rPr>
                    <m:sty m:val="p"/>
                  </m:rPr>
                  <w:rPr>
                    <w:rFonts w:hint="eastAsia" w:ascii="Cambria Math" w:hAnsi="Cambria Math" w:eastAsia="仿宋_GB2312"/>
                    <w:sz w:val="32"/>
                    <w:szCs w:val="32"/>
                  </w:rPr>
                  <m:t>末期营业收入</m:t>
                </m:r>
                <m:ctrlPr>
                  <w:rPr>
                    <w:rFonts w:ascii="Cambria Math" w:hAnsi="Cambria Math" w:eastAsia="仿宋_GB2312"/>
                    <w:sz w:val="32"/>
                    <w:szCs w:val="32"/>
                  </w:rPr>
                </m:ctrlPr>
              </m:num>
              <m:den>
                <m:r>
                  <m:rPr>
                    <m:sty m:val="p"/>
                  </m:rPr>
                  <w:rPr>
                    <w:rFonts w:hint="eastAsia" w:ascii="Cambria Math" w:hAnsi="Cambria Math" w:eastAsia="仿宋_GB2312"/>
                    <w:sz w:val="32"/>
                    <w:szCs w:val="32"/>
                  </w:rPr>
                  <m:t>基期营业收入</m:t>
                </m:r>
                <m:ctrlPr>
                  <w:rPr>
                    <w:rFonts w:ascii="Cambria Math" w:hAnsi="Cambria Math" w:eastAsia="仿宋_GB2312"/>
                    <w:sz w:val="32"/>
                    <w:szCs w:val="32"/>
                  </w:rPr>
                </m:ctrlPr>
              </m:den>
            </m:f>
            <m:ctrlPr>
              <w:rPr>
                <w:rFonts w:ascii="Cambria Math" w:hAnsi="Cambria Math" w:eastAsia="仿宋_GB2312"/>
                <w:sz w:val="32"/>
                <w:szCs w:val="32"/>
              </w:rPr>
            </m:ctrlPr>
          </m:e>
        </m:rad>
        <m:r>
          <m:rPr>
            <m:sty m:val="p"/>
          </m:rPr>
          <w:rPr>
            <w:rFonts w:ascii="Cambria Math" w:hAnsi="Cambria Math" w:eastAsia="仿宋_GB2312"/>
            <w:sz w:val="32"/>
            <w:szCs w:val="32"/>
          </w:rPr>
          <m:t>-1</m:t>
        </m:r>
      </m:oMath>
      <w:r>
        <w:rPr>
          <w:rFonts w:hint="eastAsia" w:ascii="Times New Roman" w:hAnsi="Times New Roman" w:eastAsia="仿宋_GB2312" w:cs="Times New Roman"/>
          <w:snapToGrid w:val="0"/>
          <w:sz w:val="32"/>
          <w:szCs w:val="32"/>
        </w:rPr>
        <w:t>）</w:t>
      </w:r>
      <w:r>
        <w:rPr>
          <w:rFonts w:ascii="Arial" w:hAnsi="Arial" w:eastAsia="仿宋_GB2312" w:cs="Arial"/>
          <w:snapToGrid w:val="0"/>
          <w:sz w:val="32"/>
          <w:szCs w:val="32"/>
        </w:rPr>
        <w:t>×</w:t>
      </w:r>
      <w:r>
        <w:rPr>
          <w:rFonts w:ascii="Times New Roman" w:hAnsi="Times New Roman" w:eastAsia="仿宋_GB2312" w:cs="Times New Roman"/>
          <w:snapToGrid w:val="0"/>
          <w:sz w:val="32"/>
          <w:szCs w:val="32"/>
        </w:rPr>
        <w:t>100%</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企业职工总数复合增长率</w:t>
      </w: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rPr>
        <w:t>（</w:t>
      </w:r>
      <m:oMath>
        <m:rad>
          <m:radPr>
            <m:ctrlPr>
              <w:rPr>
                <w:rFonts w:ascii="Cambria Math" w:hAnsi="Cambria Math" w:eastAsia="仿宋_GB2312"/>
                <w:sz w:val="32"/>
                <w:szCs w:val="32"/>
              </w:rPr>
            </m:ctrlPr>
          </m:radPr>
          <m:deg>
            <m:r>
              <m:rPr>
                <m:sty m:val="p"/>
              </m:rPr>
              <w:rPr>
                <w:rFonts w:hint="eastAsia" w:ascii="Cambria Math" w:hAnsi="Cambria Math" w:eastAsia="仿宋_GB2312"/>
                <w:sz w:val="32"/>
                <w:szCs w:val="32"/>
              </w:rPr>
              <m:t>末期年</m:t>
            </m:r>
            <m:r>
              <m:rPr>
                <m:sty m:val="p"/>
              </m:rPr>
              <w:rPr>
                <w:rFonts w:ascii="Cambria Math" w:hAnsi="Cambria Math" w:eastAsia="MS Mincho"/>
                <w:sz w:val="32"/>
                <w:szCs w:val="32"/>
              </w:rPr>
              <m:t>-</m:t>
            </m:r>
            <m:r>
              <m:rPr>
                <m:sty m:val="p"/>
              </m:rPr>
              <w:rPr>
                <w:rFonts w:hint="eastAsia" w:ascii="Cambria Math" w:hAnsi="Cambria Math" w:eastAsia="仿宋_GB2312"/>
                <w:sz w:val="32"/>
                <w:szCs w:val="32"/>
              </w:rPr>
              <m:t>基期年</m:t>
            </m:r>
            <m:ctrlPr>
              <w:rPr>
                <w:rFonts w:ascii="Cambria Math" w:hAnsi="Cambria Math" w:eastAsia="仿宋_GB2312"/>
                <w:sz w:val="32"/>
                <w:szCs w:val="32"/>
              </w:rPr>
            </m:ctrlPr>
          </m:deg>
          <m:e>
            <m:f>
              <m:fPr>
                <m:ctrlPr>
                  <w:rPr>
                    <w:rFonts w:ascii="Cambria Math" w:hAnsi="Cambria Math" w:eastAsia="仿宋_GB2312"/>
                    <w:sz w:val="32"/>
                    <w:szCs w:val="32"/>
                  </w:rPr>
                </m:ctrlPr>
              </m:fPr>
              <m:num>
                <m:r>
                  <m:rPr>
                    <m:sty m:val="p"/>
                  </m:rPr>
                  <w:rPr>
                    <w:rFonts w:hint="eastAsia" w:ascii="Cambria Math" w:hAnsi="Cambria Math" w:eastAsia="仿宋_GB2312"/>
                    <w:sz w:val="32"/>
                    <w:szCs w:val="32"/>
                  </w:rPr>
                  <m:t>末期职工总数</m:t>
                </m:r>
                <m:ctrlPr>
                  <w:rPr>
                    <w:rFonts w:ascii="Cambria Math" w:hAnsi="Cambria Math" w:eastAsia="仿宋_GB2312"/>
                    <w:sz w:val="32"/>
                    <w:szCs w:val="32"/>
                  </w:rPr>
                </m:ctrlPr>
              </m:num>
              <m:den>
                <m:r>
                  <m:rPr>
                    <m:sty m:val="p"/>
                  </m:rPr>
                  <w:rPr>
                    <w:rFonts w:hint="eastAsia" w:ascii="Cambria Math" w:hAnsi="Cambria Math" w:eastAsia="仿宋_GB2312"/>
                    <w:sz w:val="32"/>
                    <w:szCs w:val="32"/>
                  </w:rPr>
                  <m:t>基期职工总数</m:t>
                </m:r>
                <m:ctrlPr>
                  <w:rPr>
                    <w:rFonts w:ascii="Cambria Math" w:hAnsi="Cambria Math" w:eastAsia="仿宋_GB2312"/>
                    <w:sz w:val="32"/>
                    <w:szCs w:val="32"/>
                  </w:rPr>
                </m:ctrlPr>
              </m:den>
            </m:f>
            <m:ctrlPr>
              <w:rPr>
                <w:rFonts w:ascii="Cambria Math" w:hAnsi="Cambria Math" w:eastAsia="仿宋_GB2312"/>
                <w:sz w:val="32"/>
                <w:szCs w:val="32"/>
              </w:rPr>
            </m:ctrlPr>
          </m:e>
        </m:rad>
        <m:r>
          <m:rPr>
            <m:sty m:val="p"/>
          </m:rPr>
          <w:rPr>
            <w:rFonts w:ascii="Cambria Math" w:hAnsi="Cambria Math" w:eastAsia="MS Mincho"/>
            <w:sz w:val="32"/>
            <w:szCs w:val="32"/>
          </w:rPr>
          <m:t>-</m:t>
        </m:r>
        <m:r>
          <m:rPr>
            <m:sty m:val="p"/>
          </m:rPr>
          <w:rPr>
            <w:rFonts w:ascii="Cambria Math" w:hAnsi="Cambria Math" w:eastAsia="仿宋_GB2312"/>
            <w:sz w:val="32"/>
            <w:szCs w:val="32"/>
          </w:rPr>
          <m:t>1</m:t>
        </m:r>
      </m:oMath>
      <w:r>
        <w:rPr>
          <w:rFonts w:hint="eastAsia" w:ascii="Times New Roman" w:hAnsi="Times New Roman" w:eastAsia="仿宋_GB2312" w:cs="Times New Roman"/>
          <w:snapToGrid w:val="0"/>
          <w:sz w:val="32"/>
          <w:szCs w:val="32"/>
        </w:rPr>
        <w:t>）</w:t>
      </w:r>
      <w:r>
        <w:rPr>
          <w:rFonts w:ascii="Arial" w:hAnsi="Arial" w:eastAsia="仿宋_GB2312" w:cs="Arial"/>
          <w:snapToGrid w:val="0"/>
          <w:sz w:val="32"/>
          <w:szCs w:val="32"/>
        </w:rPr>
        <w:t>×</w:t>
      </w:r>
      <w:r>
        <w:rPr>
          <w:rFonts w:ascii="Times New Roman" w:hAnsi="Times New Roman" w:eastAsia="仿宋_GB2312" w:cs="Times New Roman"/>
          <w:snapToGrid w:val="0"/>
          <w:sz w:val="32"/>
          <w:szCs w:val="32"/>
        </w:rPr>
        <w:t>100%</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五、营业执照</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企业需扫描上传营业执照副本原件（或复印件盖公司章）。如下图所示：</w:t>
      </w:r>
    </w:p>
    <w:p>
      <w:pPr>
        <w:pStyle w:val="5"/>
        <w:widowControl w:val="0"/>
        <w:adjustRightInd w:val="0"/>
        <w:spacing w:before="0" w:beforeAutospacing="0" w:after="0" w:afterAutospacing="0"/>
        <w:ind w:firstLine="480" w:firstLineChars="200"/>
        <w:jc w:val="center"/>
        <w:rPr>
          <w:rFonts w:ascii="Times New Roman" w:hAnsi="Times New Roman" w:eastAsia="仿宋_GB2312" w:cs="Times New Roman"/>
          <w:snapToGrid w:val="0"/>
          <w:sz w:val="32"/>
          <w:szCs w:val="32"/>
        </w:rPr>
      </w:pPr>
      <w:r>
        <w:drawing>
          <wp:inline distT="0" distB="0" distL="0" distR="0">
            <wp:extent cx="2339975" cy="3347720"/>
            <wp:effectExtent l="0" t="0" r="3175" b="4445"/>
            <wp:docPr id="1027" name="Picture 2"/>
            <wp:cNvGraphicFramePr/>
            <a:graphic xmlns:a="http://schemas.openxmlformats.org/drawingml/2006/main">
              <a:graphicData uri="http://schemas.openxmlformats.org/drawingml/2006/picture">
                <pic:pic xmlns:pic="http://schemas.openxmlformats.org/drawingml/2006/picture">
                  <pic:nvPicPr>
                    <pic:cNvPr id="1027" name="Picture 2"/>
                    <pic:cNvPicPr/>
                  </pic:nvPicPr>
                  <pic:blipFill>
                    <a:blip r:embed="rId6" cstate="print"/>
                    <a:srcRect/>
                    <a:stretch>
                      <a:fillRect/>
                    </a:stretch>
                  </pic:blipFill>
                  <pic:spPr>
                    <a:xfrm>
                      <a:off x="0" y="0"/>
                      <a:ext cx="2339975" cy="3348354"/>
                    </a:xfrm>
                    <a:prstGeom prst="rect">
                      <a:avLst/>
                    </a:prstGeom>
                  </pic:spPr>
                </pic:pic>
              </a:graphicData>
            </a:graphic>
          </wp:inline>
        </w:drawing>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六、企业信用</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企业在填报上一年及当年未发生科研严重失信行为，且企业未列入经营异常名录和严重违法失信企业名单”以有关部门根据相关法律出具的意见和国家公共信用信息中心“信用中国”网站（网址：</w:t>
      </w:r>
      <w:r>
        <w:fldChar w:fldCharType="begin"/>
      </w:r>
      <w:r>
        <w:instrText xml:space="preserve"> HYPERLINK "http://www.creditchina.gov.cn）公示为准，" </w:instrText>
      </w:r>
      <w:r>
        <w:fldChar w:fldCharType="separate"/>
      </w:r>
      <w:r>
        <w:rPr>
          <w:rFonts w:hint="eastAsia" w:ascii="Times New Roman" w:hAnsi="Times New Roman" w:eastAsia="仿宋_GB2312" w:cs="Times New Roman"/>
          <w:snapToGrid w:val="0"/>
          <w:sz w:val="32"/>
          <w:szCs w:val="32"/>
        </w:rPr>
        <w:t>www.creditchina.gov.cn）公示为准，</w:t>
      </w:r>
      <w:r>
        <w:rPr>
          <w:rFonts w:hint="eastAsia" w:ascii="Times New Roman" w:hAnsi="Times New Roman" w:eastAsia="仿宋_GB2312" w:cs="Times New Roman"/>
          <w:snapToGrid w:val="0"/>
          <w:sz w:val="32"/>
          <w:szCs w:val="32"/>
        </w:rPr>
        <w:fldChar w:fldCharType="end"/>
      </w:r>
      <w:r>
        <w:rPr>
          <w:rFonts w:hint="eastAsia" w:ascii="仿宋_GB2312" w:hAnsi="仿宋_GB2312" w:eastAsia="仿宋_GB2312" w:cs="仿宋_GB2312"/>
          <w:snapToGrid w:val="0"/>
          <w:sz w:val="32"/>
          <w:szCs w:val="32"/>
        </w:rPr>
        <w:t>“列入经营异常名录和严重违法失信企业名单”以国</w:t>
      </w:r>
      <w:r>
        <w:rPr>
          <w:rFonts w:hint="eastAsia" w:ascii="Times New Roman" w:hAnsi="Times New Roman" w:eastAsia="仿宋_GB2312" w:cs="Times New Roman"/>
          <w:snapToGrid w:val="0"/>
          <w:sz w:val="32"/>
          <w:szCs w:val="32"/>
        </w:rPr>
        <w:t>家市场监督管理总局“国家企业信用信息公示系统”（网址：</w:t>
      </w:r>
      <w:r>
        <w:rPr>
          <w:rFonts w:ascii="Times New Roman" w:hAnsi="Times New Roman" w:eastAsia="仿宋_GB2312" w:cs="Times New Roman"/>
          <w:snapToGrid w:val="0"/>
          <w:sz w:val="32"/>
          <w:szCs w:val="32"/>
        </w:rPr>
        <w:t>www.gsxt.gov.cn</w:t>
      </w:r>
      <w:r>
        <w:rPr>
          <w:rFonts w:hint="eastAsia" w:ascii="Times New Roman" w:hAnsi="Times New Roman" w:eastAsia="仿宋_GB2312" w:cs="Times New Roman"/>
          <w:snapToGrid w:val="0"/>
          <w:sz w:val="32"/>
          <w:szCs w:val="32"/>
        </w:rPr>
        <w:t>）为准。</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企业在“信用中国”查询后，“下载信用报告”形成“企业信息详情.png”文件，上传该文件即可，无需打印盖章。</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3968115" cy="2122170"/>
            <wp:effectExtent l="0" t="0" r="13334" b="11430"/>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7" cstate="print"/>
                    <a:srcRect/>
                    <a:stretch>
                      <a:fillRect/>
                    </a:stretch>
                  </pic:blipFill>
                  <pic:spPr>
                    <a:xfrm>
                      <a:off x="0" y="0"/>
                      <a:ext cx="3968115" cy="212217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3938905" cy="2205990"/>
            <wp:effectExtent l="0" t="0" r="4445" b="3810"/>
            <wp:docPr id="1029" name="Picture 2"/>
            <wp:cNvGraphicFramePr/>
            <a:graphic xmlns:a="http://schemas.openxmlformats.org/drawingml/2006/main">
              <a:graphicData uri="http://schemas.openxmlformats.org/drawingml/2006/picture">
                <pic:pic xmlns:pic="http://schemas.openxmlformats.org/drawingml/2006/picture">
                  <pic:nvPicPr>
                    <pic:cNvPr id="1029" name="Picture 2"/>
                    <pic:cNvPicPr/>
                  </pic:nvPicPr>
                  <pic:blipFill>
                    <a:blip r:embed="rId8" cstate="print"/>
                    <a:srcRect/>
                    <a:stretch>
                      <a:fillRect/>
                    </a:stretch>
                  </pic:blipFill>
                  <pic:spPr>
                    <a:xfrm>
                      <a:off x="0" y="0"/>
                      <a:ext cx="3938905" cy="2205990"/>
                    </a:xfrm>
                    <a:prstGeom prst="rect">
                      <a:avLst/>
                    </a:prstGeom>
                  </pic:spPr>
                </pic:pic>
              </a:graphicData>
            </a:graphic>
          </wp:inline>
        </w:drawing>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在“国家企业信用信息公示系统”查询后，“信息打印”勾选五项内容（营业执照信息、股东信息、行政处罚信息、经营异常信息及严重违法失信企业名单信息），点击确认，点击打印图标，另存为PDF文件，直接上传此PDF文件，无需打印盖章。如果企业无法下载PDF文件，也可打印文件后</w:t>
      </w:r>
      <w:r>
        <w:rPr>
          <w:rFonts w:ascii="Times New Roman" w:hAnsi="Times New Roman" w:eastAsia="仿宋_GB2312" w:cs="Times New Roman"/>
          <w:snapToGrid w:val="0"/>
          <w:sz w:val="32"/>
          <w:szCs w:val="32"/>
        </w:rPr>
        <w:t>盖</w:t>
      </w:r>
      <w:r>
        <w:rPr>
          <w:rFonts w:hint="eastAsia" w:ascii="Times New Roman" w:hAnsi="Times New Roman" w:eastAsia="仿宋_GB2312" w:cs="Times New Roman"/>
          <w:snapToGrid w:val="0"/>
          <w:sz w:val="32"/>
          <w:szCs w:val="32"/>
        </w:rPr>
        <w:t>企业</w:t>
      </w:r>
      <w:r>
        <w:rPr>
          <w:rFonts w:ascii="Times New Roman" w:hAnsi="Times New Roman" w:eastAsia="仿宋_GB2312" w:cs="Times New Roman"/>
          <w:snapToGrid w:val="0"/>
          <w:sz w:val="32"/>
          <w:szCs w:val="32"/>
        </w:rPr>
        <w:t>公章（首页盖章</w:t>
      </w:r>
      <w:r>
        <w:rPr>
          <w:rFonts w:hint="eastAsia" w:ascii="Times New Roman" w:hAnsi="Times New Roman" w:eastAsia="仿宋_GB2312" w:cs="Times New Roman"/>
          <w:snapToGrid w:val="0"/>
          <w:sz w:val="32"/>
          <w:szCs w:val="32"/>
        </w:rPr>
        <w:t>，其它页</w:t>
      </w:r>
      <w:r>
        <w:rPr>
          <w:rFonts w:ascii="Times New Roman" w:hAnsi="Times New Roman" w:eastAsia="仿宋_GB2312" w:cs="Times New Roman"/>
          <w:snapToGrid w:val="0"/>
          <w:sz w:val="32"/>
          <w:szCs w:val="32"/>
        </w:rPr>
        <w:t>骑缝章）后</w:t>
      </w:r>
      <w:r>
        <w:rPr>
          <w:rFonts w:hint="eastAsia" w:ascii="Times New Roman" w:hAnsi="Times New Roman" w:eastAsia="仿宋_GB2312" w:cs="Times New Roman"/>
          <w:snapToGrid w:val="0"/>
          <w:sz w:val="32"/>
          <w:szCs w:val="32"/>
        </w:rPr>
        <w:t>扫描上传。</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4735195" cy="2711450"/>
            <wp:effectExtent l="0" t="0" r="8255" b="12700"/>
            <wp:docPr id="1030" name="Picture 2"/>
            <wp:cNvGraphicFramePr/>
            <a:graphic xmlns:a="http://schemas.openxmlformats.org/drawingml/2006/main">
              <a:graphicData uri="http://schemas.openxmlformats.org/drawingml/2006/picture">
                <pic:pic xmlns:pic="http://schemas.openxmlformats.org/drawingml/2006/picture">
                  <pic:nvPicPr>
                    <pic:cNvPr id="1030" name="Picture 2"/>
                    <pic:cNvPicPr/>
                  </pic:nvPicPr>
                  <pic:blipFill>
                    <a:blip r:embed="rId9" cstate="print"/>
                    <a:srcRect/>
                    <a:stretch>
                      <a:fillRect/>
                    </a:stretch>
                  </pic:blipFill>
                  <pic:spPr>
                    <a:xfrm>
                      <a:off x="0" y="0"/>
                      <a:ext cx="4735195" cy="2711450"/>
                    </a:xfrm>
                    <a:prstGeom prst="rect">
                      <a:avLst/>
                    </a:prstGeom>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4690745" cy="2802255"/>
            <wp:effectExtent l="0" t="0" r="14605" b="17145"/>
            <wp:docPr id="1031" name="Picture 4"/>
            <wp:cNvGraphicFramePr/>
            <a:graphic xmlns:a="http://schemas.openxmlformats.org/drawingml/2006/main">
              <a:graphicData uri="http://schemas.openxmlformats.org/drawingml/2006/picture">
                <pic:pic xmlns:pic="http://schemas.openxmlformats.org/drawingml/2006/picture">
                  <pic:nvPicPr>
                    <pic:cNvPr id="1031" name="Picture 4"/>
                    <pic:cNvPicPr/>
                  </pic:nvPicPr>
                  <pic:blipFill>
                    <a:blip r:embed="rId10" cstate="print"/>
                    <a:srcRect/>
                    <a:stretch>
                      <a:fillRect/>
                    </a:stretch>
                  </pic:blipFill>
                  <pic:spPr>
                    <a:xfrm>
                      <a:off x="0" y="0"/>
                      <a:ext cx="4690745" cy="2802255"/>
                    </a:xfrm>
                    <a:prstGeom prst="rect">
                      <a:avLst/>
                    </a:prstGeom>
                    <a:ln>
                      <a:noFill/>
                    </a:ln>
                  </pic:spPr>
                </pic:pic>
              </a:graphicData>
            </a:graphic>
          </wp:inline>
        </w:drawing>
      </w:r>
    </w:p>
    <w:p>
      <w:pPr>
        <w:pStyle w:val="5"/>
        <w:widowControl w:val="0"/>
        <w:adjustRightInd w:val="0"/>
        <w:spacing w:before="0" w:beforeAutospacing="0" w:after="0" w:afterAutospacing="0"/>
        <w:ind w:firstLine="480" w:firstLineChars="200"/>
        <w:rPr>
          <w:rFonts w:ascii="Times New Roman" w:hAnsi="Times New Roman" w:eastAsia="仿宋_GB2312" w:cs="Times New Roman"/>
          <w:snapToGrid w:val="0"/>
          <w:sz w:val="32"/>
          <w:szCs w:val="32"/>
        </w:rPr>
      </w:pPr>
      <w:r>
        <w:drawing>
          <wp:inline distT="0" distB="0" distL="0" distR="0">
            <wp:extent cx="2203450" cy="3409950"/>
            <wp:effectExtent l="19050" t="0" r="6197" b="0"/>
            <wp:docPr id="1032" name="Picture 4"/>
            <wp:cNvGraphicFramePr/>
            <a:graphic xmlns:a="http://schemas.openxmlformats.org/drawingml/2006/main">
              <a:graphicData uri="http://schemas.openxmlformats.org/drawingml/2006/picture">
                <pic:pic xmlns:pic="http://schemas.openxmlformats.org/drawingml/2006/picture">
                  <pic:nvPicPr>
                    <pic:cNvPr id="1032" name="Picture 4"/>
                    <pic:cNvPicPr/>
                  </pic:nvPicPr>
                  <pic:blipFill>
                    <a:blip r:embed="rId11" cstate="print"/>
                    <a:srcRect/>
                    <a:stretch>
                      <a:fillRect/>
                    </a:stretch>
                  </pic:blipFill>
                  <pic:spPr>
                    <a:xfrm>
                      <a:off x="0" y="0"/>
                      <a:ext cx="2203450" cy="3409950"/>
                    </a:xfrm>
                    <a:prstGeom prst="rect">
                      <a:avLst/>
                    </a:prstGeom>
                  </pic:spPr>
                </pic:pic>
              </a:graphicData>
            </a:graphic>
          </wp:inline>
        </w:drawing>
      </w:r>
      <w:r>
        <w:rPr>
          <w:rFonts w:ascii="Times New Roman" w:hAnsi="Times New Roman" w:eastAsia="仿宋_GB2312" w:cs="Times New Roman"/>
          <w:snapToGrid w:val="0"/>
          <w:sz w:val="32"/>
          <w:szCs w:val="32"/>
        </w:rPr>
        <w:drawing>
          <wp:inline distT="0" distB="0" distL="0" distR="0">
            <wp:extent cx="2343150" cy="3295650"/>
            <wp:effectExtent l="0" t="0" r="0" b="0"/>
            <wp:docPr id="1033" name="_x0000_t75"/>
            <wp:cNvGraphicFramePr/>
            <a:graphic xmlns:a="http://schemas.openxmlformats.org/drawingml/2006/main">
              <a:graphicData uri="http://schemas.openxmlformats.org/drawingml/2006/picture">
                <pic:pic xmlns:pic="http://schemas.openxmlformats.org/drawingml/2006/picture">
                  <pic:nvPicPr>
                    <pic:cNvPr id="1033" name="_x0000_t75"/>
                    <pic:cNvPicPr/>
                  </pic:nvPicPr>
                  <pic:blipFill>
                    <a:blip r:embed="rId12" cstate="print"/>
                    <a:srcRect/>
                    <a:stretch>
                      <a:fillRect/>
                    </a:stretch>
                  </pic:blipFill>
                  <pic:spPr>
                    <a:xfrm>
                      <a:off x="0" y="0"/>
                      <a:ext cx="2343150" cy="3295650"/>
                    </a:xfrm>
                    <a:prstGeom prst="rect">
                      <a:avLst/>
                    </a:prstGeom>
                    <a:ln>
                      <a:noFill/>
                    </a:ln>
                  </pic:spPr>
                </pic:pic>
              </a:graphicData>
            </a:graphic>
          </wp:inline>
        </w:drawing>
      </w:r>
    </w:p>
    <w:p>
      <w:pPr>
        <w:pStyle w:val="5"/>
        <w:widowControl w:val="0"/>
        <w:adjustRightInd w:val="0"/>
        <w:spacing w:before="0" w:beforeAutospacing="0" w:after="0" w:afterAutospacing="0"/>
        <w:ind w:firstLine="480" w:firstLineChars="200"/>
        <w:jc w:val="center"/>
        <w:rPr>
          <w:rFonts w:ascii="Times New Roman" w:hAnsi="Times New Roman" w:eastAsia="仿宋_GB2312" w:cs="Times New Roman"/>
          <w:snapToGrid w:val="0"/>
          <w:sz w:val="32"/>
          <w:szCs w:val="32"/>
        </w:rPr>
      </w:pPr>
      <w:r>
        <w:drawing>
          <wp:inline distT="0" distB="0" distL="0" distR="0">
            <wp:extent cx="2222500" cy="3409315"/>
            <wp:effectExtent l="19050" t="0" r="6350" b="0"/>
            <wp:docPr id="1034" name="Picture 3"/>
            <wp:cNvGraphicFramePr/>
            <a:graphic xmlns:a="http://schemas.openxmlformats.org/drawingml/2006/main">
              <a:graphicData uri="http://schemas.openxmlformats.org/drawingml/2006/picture">
                <pic:pic xmlns:pic="http://schemas.openxmlformats.org/drawingml/2006/picture">
                  <pic:nvPicPr>
                    <pic:cNvPr id="1034" name="Picture 3"/>
                    <pic:cNvPicPr/>
                  </pic:nvPicPr>
                  <pic:blipFill>
                    <a:blip r:embed="rId13" cstate="print"/>
                    <a:srcRect/>
                    <a:stretch>
                      <a:fillRect/>
                    </a:stretch>
                  </pic:blipFill>
                  <pic:spPr>
                    <a:xfrm>
                      <a:off x="0" y="0"/>
                      <a:ext cx="2222500" cy="3409315"/>
                    </a:xfrm>
                    <a:prstGeom prst="rect">
                      <a:avLst/>
                    </a:prstGeom>
                  </pic:spPr>
                </pic:pic>
              </a:graphicData>
            </a:graphic>
          </wp:inline>
        </w:drawing>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七、关于雏鹰企业经营数据填写及佐证材料</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雏鹰企业评价所指的营业收入采用上一会计年度财务数据，可以按照以下两种口径（任选一种）提交佐证材料：</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1、企业纳税报表为佐证材料</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企业纳税时报送给税务部门的：</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（1）上一年度《中华人民共和国企业所得税年度纳税申报表（</w:t>
      </w:r>
      <w:r>
        <w:rPr>
          <w:rFonts w:ascii="Times New Roman" w:hAnsi="Times New Roman" w:eastAsia="仿宋_GB2312" w:cs="Times New Roman"/>
          <w:snapToGrid w:val="0"/>
          <w:sz w:val="32"/>
          <w:szCs w:val="32"/>
        </w:rPr>
        <w:t>A</w:t>
      </w:r>
      <w:r>
        <w:rPr>
          <w:rFonts w:hint="eastAsia" w:ascii="Times New Roman" w:hAnsi="Times New Roman" w:eastAsia="仿宋_GB2312" w:cs="Times New Roman"/>
          <w:snapToGrid w:val="0"/>
          <w:sz w:val="32"/>
          <w:szCs w:val="32"/>
        </w:rPr>
        <w:t>类）》（</w:t>
      </w:r>
      <w:r>
        <w:rPr>
          <w:rFonts w:ascii="Times New Roman" w:hAnsi="Times New Roman" w:eastAsia="仿宋_GB2312" w:cs="Times New Roman"/>
          <w:snapToGrid w:val="0"/>
          <w:sz w:val="32"/>
          <w:szCs w:val="32"/>
        </w:rPr>
        <w:t>A100000</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（2）资产负债表；</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（3）利润表；</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（4）</w:t>
      </w:r>
      <w:r>
        <w:rPr>
          <w:rFonts w:hint="eastAsia" w:ascii="Times New Roman" w:hAnsi="Times New Roman" w:eastAsia="仿宋_GB2312"/>
          <w:sz w:val="32"/>
          <w:szCs w:val="32"/>
        </w:rPr>
        <w:t>如果</w:t>
      </w:r>
      <w:r>
        <w:rPr>
          <w:rFonts w:hint="eastAsia" w:ascii="Times New Roman" w:hAnsi="Times New Roman" w:eastAsia="仿宋_GB2312" w:cs="Times New Roman"/>
          <w:snapToGrid w:val="0"/>
          <w:sz w:val="32"/>
          <w:szCs w:val="32"/>
        </w:rPr>
        <w:t>利润表没有研发经费数据，则企业可以通过提供《</w:t>
      </w:r>
      <w:r>
        <w:rPr>
          <w:rFonts w:hint="eastAsia" w:ascii="Times New Roman" w:hAnsi="Times New Roman" w:eastAsia="仿宋_GB2312"/>
          <w:sz w:val="32"/>
          <w:szCs w:val="32"/>
        </w:rPr>
        <w:t>研发费用加计扣除优惠明细表</w:t>
      </w:r>
      <w:r>
        <w:rPr>
          <w:rFonts w:hint="eastAsia" w:ascii="Times New Roman" w:hAnsi="Times New Roman" w:eastAsia="仿宋_GB2312" w:cs="Times New Roman"/>
          <w:snapToGrid w:val="0"/>
          <w:sz w:val="32"/>
          <w:szCs w:val="32"/>
        </w:rPr>
        <w:t>》佐证研发经费数据。</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sz w:val="32"/>
          <w:szCs w:val="32"/>
        </w:rPr>
        <w:t>如果</w:t>
      </w:r>
      <w:r>
        <w:rPr>
          <w:rFonts w:hint="eastAsia" w:ascii="Times New Roman" w:hAnsi="Times New Roman" w:eastAsia="仿宋_GB2312" w:cs="Times New Roman"/>
          <w:snapToGrid w:val="0"/>
          <w:sz w:val="32"/>
          <w:szCs w:val="32"/>
        </w:rPr>
        <w:t>利润表没有研发经费数据，企业又不能提供</w:t>
      </w:r>
      <w:r>
        <w:rPr>
          <w:rFonts w:ascii="Times New Roman" w:hAnsi="Times New Roman" w:eastAsia="仿宋_GB2312" w:cs="Times New Roman"/>
          <w:snapToGrid w:val="0"/>
          <w:sz w:val="32"/>
          <w:szCs w:val="32"/>
        </w:rPr>
        <w:t>《</w:t>
      </w:r>
      <w:r>
        <w:rPr>
          <w:rFonts w:hint="eastAsia" w:ascii="Times New Roman" w:hAnsi="Times New Roman" w:eastAsia="仿宋_GB2312"/>
          <w:sz w:val="32"/>
          <w:szCs w:val="32"/>
        </w:rPr>
        <w:t>研发费用加计扣除优惠明细表</w:t>
      </w:r>
      <w:r>
        <w:rPr>
          <w:rFonts w:ascii="Times New Roman" w:hAnsi="Times New Roman" w:eastAsia="仿宋_GB2312"/>
          <w:sz w:val="32"/>
          <w:szCs w:val="32"/>
        </w:rPr>
        <w:t>》</w:t>
      </w:r>
      <w:r>
        <w:rPr>
          <w:rFonts w:hint="eastAsia" w:ascii="Times New Roman" w:hAnsi="Times New Roman" w:eastAsia="仿宋_GB2312" w:cs="Times New Roman"/>
          <w:snapToGrid w:val="0"/>
          <w:sz w:val="32"/>
          <w:szCs w:val="32"/>
        </w:rPr>
        <w:t>，则企业还可以通过提供研发经费专项审计报告佐证研发经费数据。</w:t>
      </w:r>
    </w:p>
    <w:p>
      <w:pPr>
        <w:pStyle w:val="5"/>
        <w:widowControl w:val="0"/>
        <w:adjustRightInd w:val="0"/>
        <w:spacing w:before="0" w:beforeAutospacing="0" w:after="0" w:afterAutospacing="0"/>
        <w:ind w:firstLine="640" w:firstLineChars="200"/>
        <w:jc w:val="both"/>
        <w:rPr>
          <w:rFonts w:ascii="Times New Roman" w:hAnsi="Times New Roman" w:eastAsia="仿宋_GB2312"/>
          <w:sz w:val="32"/>
          <w:szCs w:val="32"/>
        </w:rPr>
      </w:pPr>
      <w:r>
        <w:rPr>
          <w:rFonts w:hint="eastAsia" w:ascii="Times New Roman" w:hAnsi="Times New Roman" w:eastAsia="仿宋_GB2312"/>
          <w:sz w:val="32"/>
          <w:szCs w:val="32"/>
        </w:rPr>
        <w:t>如果</w:t>
      </w:r>
      <w:r>
        <w:rPr>
          <w:rFonts w:hint="eastAsia" w:ascii="Times New Roman" w:hAnsi="Times New Roman" w:eastAsia="仿宋_GB2312" w:cs="Times New Roman"/>
          <w:snapToGrid w:val="0"/>
          <w:sz w:val="32"/>
          <w:szCs w:val="32"/>
        </w:rPr>
        <w:t>利润表没有研发经费数据，企业又不能提供《</w:t>
      </w:r>
      <w:r>
        <w:rPr>
          <w:rFonts w:hint="eastAsia" w:ascii="Times New Roman" w:hAnsi="Times New Roman" w:eastAsia="仿宋_GB2312"/>
          <w:sz w:val="32"/>
          <w:szCs w:val="32"/>
        </w:rPr>
        <w:t>研发费用加计扣除优惠明细表》</w:t>
      </w:r>
      <w:r>
        <w:rPr>
          <w:rFonts w:hint="eastAsia" w:ascii="Times New Roman" w:hAnsi="Times New Roman" w:eastAsia="仿宋_GB2312" w:cs="Times New Roman"/>
          <w:snapToGrid w:val="0"/>
          <w:sz w:val="32"/>
          <w:szCs w:val="32"/>
        </w:rPr>
        <w:t>，也不能提供研发经费专项审计报告，</w:t>
      </w:r>
      <w:r>
        <w:rPr>
          <w:rFonts w:hint="eastAsia" w:ascii="Times New Roman" w:hAnsi="Times New Roman" w:eastAsia="仿宋_GB2312"/>
          <w:sz w:val="32"/>
          <w:szCs w:val="32"/>
        </w:rPr>
        <w:t>则企业研发费只能填写为0。</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企业提供纳税报表扫描件时，首页需盖企业公章，其它页骑缝</w:t>
      </w:r>
      <w:r>
        <w:rPr>
          <w:rFonts w:hint="eastAsia" w:ascii="仿宋_GB2312" w:hAnsi="仿宋_GB2312" w:eastAsia="仿宋_GB2312" w:cs="仿宋_GB2312"/>
          <w:snapToGrid w:val="0"/>
          <w:sz w:val="32"/>
          <w:szCs w:val="32"/>
        </w:rPr>
        <w:t>章</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2、以企业年度审计报告为佐证材料</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企业提供正规、详细的企业年度财务审计报告。如果年度财务审计报告没有研发经费数据，则需要提供研发经费专项审计报告。</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正规的审计报告，审计单位已经盖了审计单位的公章。若企业提供审计报告复印件扫描件时，首页需盖企业公章，其它页骑缝</w:t>
      </w:r>
      <w:r>
        <w:rPr>
          <w:rFonts w:hint="eastAsia" w:ascii="仿宋_GB2312" w:hAnsi="仿宋_GB2312" w:eastAsia="仿宋_GB2312" w:cs="仿宋_GB2312"/>
          <w:snapToGrid w:val="0"/>
          <w:sz w:val="32"/>
          <w:szCs w:val="32"/>
        </w:rPr>
        <w:t>章</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雏鹰企业经营数据填写说明见下表：</w:t>
      </w:r>
    </w:p>
    <w:tbl>
      <w:tblPr>
        <w:tblStyle w:val="19"/>
        <w:tblW w:w="8784" w:type="dxa"/>
        <w:jc w:val="center"/>
        <w:tblCellSpacing w:w="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93"/>
        <w:gridCol w:w="866"/>
        <w:gridCol w:w="2713"/>
        <w:gridCol w:w="1260"/>
        <w:gridCol w:w="32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Ex>
        <w:trPr>
          <w:trHeight w:val="1727" w:hRule="atLeast"/>
          <w:tblCellSpacing w:w="0" w:type="dxa"/>
          <w:jc w:val="center"/>
        </w:trPr>
        <w:tc>
          <w:tcPr>
            <w:tcW w:w="693" w:type="dxa"/>
            <w:vMerge w:val="restart"/>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上一会计年度企业数据</w:t>
            </w:r>
          </w:p>
        </w:tc>
        <w:tc>
          <w:tcPr>
            <w:tcW w:w="866"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资产总额（万元）</w:t>
            </w:r>
          </w:p>
        </w:tc>
        <w:tc>
          <w:tcPr>
            <w:tcW w:w="2713"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纳税报表：资产负债表中的资产合计</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审计报告：资产负债表中的资产合计</w:t>
            </w:r>
          </w:p>
        </w:tc>
        <w:tc>
          <w:tcPr>
            <w:tcW w:w="1260"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其中：净资产（万元）</w:t>
            </w:r>
          </w:p>
        </w:tc>
        <w:tc>
          <w:tcPr>
            <w:tcW w:w="3252"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纳税报表：资产负债表中的所有者权益</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审计报告：资产负债表中的所有者权益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70" w:hRule="atLeast"/>
          <w:tblCellSpacing w:w="0" w:type="dxa"/>
          <w:jc w:val="center"/>
        </w:trPr>
        <w:tc>
          <w:tcPr>
            <w:tcW w:w="693" w:type="dxa"/>
            <w:vMerge w:val="continue"/>
            <w:tcBorders>
              <w:tl2br w:val="nil"/>
              <w:tr2bl w:val="nil"/>
            </w:tcBorders>
            <w:shd w:val="clear" w:color="auto" w:fill="auto"/>
            <w:tcMar>
              <w:top w:w="57" w:type="dxa"/>
              <w:left w:w="57" w:type="dxa"/>
              <w:bottom w:w="57" w:type="dxa"/>
              <w:right w:w="57" w:type="dxa"/>
            </w:tcMar>
            <w:vAlign w:val="center"/>
          </w:tcPr>
          <w:p>
            <w:pPr>
              <w:rPr>
                <w:rFonts w:ascii="黑体" w:hAnsi="黑体" w:eastAsia="黑体" w:cs="黑体"/>
                <w:szCs w:val="21"/>
              </w:rPr>
            </w:pPr>
          </w:p>
        </w:tc>
        <w:tc>
          <w:tcPr>
            <w:tcW w:w="866"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营业收入总额（万元）</w:t>
            </w:r>
          </w:p>
        </w:tc>
        <w:tc>
          <w:tcPr>
            <w:tcW w:w="2713"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纳税报表：利润表中的营业收入；或</w:t>
            </w:r>
            <w:r>
              <w:rPr>
                <w:rFonts w:ascii="Times New Roman" w:hAnsi="Times New Roman" w:eastAsia="仿宋_GB2312" w:cs="Times New Roman"/>
                <w:snapToGrid w:val="0"/>
                <w:sz w:val="21"/>
                <w:szCs w:val="21"/>
              </w:rPr>
              <w:t>A100000</w:t>
            </w:r>
            <w:r>
              <w:rPr>
                <w:rFonts w:hint="eastAsia" w:ascii="楷体_GB2312" w:hAnsi="楷体_GB2312" w:eastAsia="楷体_GB2312" w:cs="楷体_GB2312"/>
                <w:sz w:val="21"/>
                <w:szCs w:val="21"/>
              </w:rPr>
              <w:t>表中A1行次数据；</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审计报告：利润表中的营业收入</w:t>
            </w:r>
          </w:p>
        </w:tc>
        <w:tc>
          <w:tcPr>
            <w:tcW w:w="1260"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其中：主营业务收入（万元）</w:t>
            </w:r>
          </w:p>
        </w:tc>
        <w:tc>
          <w:tcPr>
            <w:tcW w:w="3252"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纳税报表：利润表中的主营业务收入，如果没有主营业务收入数据，可填写营业收入数据或</w:t>
            </w:r>
            <w:r>
              <w:rPr>
                <w:rFonts w:ascii="Times New Roman" w:hAnsi="Times New Roman" w:eastAsia="仿宋_GB2312" w:cs="Times New Roman"/>
                <w:snapToGrid w:val="0"/>
                <w:sz w:val="21"/>
                <w:szCs w:val="21"/>
              </w:rPr>
              <w:t>A100000</w:t>
            </w:r>
            <w:r>
              <w:rPr>
                <w:rFonts w:hint="eastAsia" w:ascii="楷体_GB2312" w:hAnsi="楷体_GB2312" w:eastAsia="楷体_GB2312" w:cs="楷体_GB2312"/>
                <w:sz w:val="21"/>
                <w:szCs w:val="21"/>
              </w:rPr>
              <w:t>表中A1行次数据；</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审计报告：利润表中的主营业务收入，如果没有主营业务收入数据，可填写营业收入数据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725" w:hRule="atLeast"/>
          <w:tblCellSpacing w:w="0" w:type="dxa"/>
          <w:jc w:val="center"/>
        </w:trPr>
        <w:tc>
          <w:tcPr>
            <w:tcW w:w="693" w:type="dxa"/>
            <w:vMerge w:val="continue"/>
            <w:tcBorders>
              <w:tl2br w:val="nil"/>
              <w:tr2bl w:val="nil"/>
            </w:tcBorders>
            <w:shd w:val="clear" w:color="auto" w:fill="auto"/>
            <w:tcMar>
              <w:top w:w="57" w:type="dxa"/>
              <w:left w:w="57" w:type="dxa"/>
              <w:bottom w:w="57" w:type="dxa"/>
              <w:right w:w="57" w:type="dxa"/>
            </w:tcMar>
            <w:vAlign w:val="center"/>
          </w:tcPr>
          <w:p>
            <w:pPr>
              <w:rPr>
                <w:rFonts w:ascii="黑体" w:hAnsi="黑体" w:eastAsia="黑体" w:cs="黑体"/>
                <w:szCs w:val="21"/>
              </w:rPr>
            </w:pPr>
          </w:p>
        </w:tc>
        <w:tc>
          <w:tcPr>
            <w:tcW w:w="866"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利润总额（万元）</w:t>
            </w:r>
          </w:p>
        </w:tc>
        <w:tc>
          <w:tcPr>
            <w:tcW w:w="2713"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纳税报表：利润表中的利润总额或</w:t>
            </w:r>
            <w:r>
              <w:rPr>
                <w:rFonts w:ascii="Times New Roman" w:hAnsi="Times New Roman" w:eastAsia="仿宋_GB2312" w:cs="Times New Roman"/>
                <w:snapToGrid w:val="0"/>
                <w:sz w:val="21"/>
                <w:szCs w:val="21"/>
              </w:rPr>
              <w:t>A100000</w:t>
            </w:r>
            <w:r>
              <w:rPr>
                <w:rFonts w:hint="eastAsia" w:ascii="楷体_GB2312" w:hAnsi="楷体_GB2312" w:eastAsia="楷体_GB2312" w:cs="楷体_GB2312"/>
                <w:sz w:val="21"/>
                <w:szCs w:val="21"/>
              </w:rPr>
              <w:t>表中A13行次数据；</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审计报告：利润表中的利润总额</w:t>
            </w:r>
          </w:p>
        </w:tc>
        <w:tc>
          <w:tcPr>
            <w:tcW w:w="1260"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纳税总额（万元）</w:t>
            </w:r>
          </w:p>
        </w:tc>
        <w:tc>
          <w:tcPr>
            <w:tcW w:w="3252"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主要指所得税纳税额。</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纳税报表：利润表中的所得税费用或</w:t>
            </w:r>
            <w:r>
              <w:rPr>
                <w:rFonts w:ascii="Times New Roman" w:hAnsi="Times New Roman" w:eastAsia="仿宋_GB2312" w:cs="Times New Roman"/>
                <w:snapToGrid w:val="0"/>
                <w:sz w:val="21"/>
                <w:szCs w:val="21"/>
              </w:rPr>
              <w:t>A100000</w:t>
            </w:r>
            <w:r>
              <w:rPr>
                <w:rFonts w:hint="eastAsia" w:ascii="楷体_GB2312" w:hAnsi="楷体_GB2312" w:eastAsia="楷体_GB2312" w:cs="楷体_GB2312"/>
                <w:sz w:val="21"/>
                <w:szCs w:val="21"/>
              </w:rPr>
              <w:t>表中A31行次数据</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审计报告：利润表中的所得税费用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80" w:hRule="atLeast"/>
          <w:tblCellSpacing w:w="0" w:type="dxa"/>
          <w:jc w:val="center"/>
        </w:trPr>
        <w:tc>
          <w:tcPr>
            <w:tcW w:w="693" w:type="dxa"/>
            <w:vMerge w:val="continue"/>
            <w:tcBorders>
              <w:tl2br w:val="nil"/>
              <w:tr2bl w:val="nil"/>
            </w:tcBorders>
            <w:shd w:val="clear" w:color="auto" w:fill="auto"/>
            <w:tcMar>
              <w:top w:w="57" w:type="dxa"/>
              <w:left w:w="57" w:type="dxa"/>
              <w:bottom w:w="57" w:type="dxa"/>
              <w:right w:w="57" w:type="dxa"/>
            </w:tcMar>
            <w:vAlign w:val="center"/>
          </w:tcPr>
          <w:p>
            <w:pPr>
              <w:rPr>
                <w:rFonts w:ascii="黑体" w:hAnsi="黑体" w:eastAsia="黑体" w:cs="黑体"/>
                <w:szCs w:val="21"/>
              </w:rPr>
            </w:pPr>
          </w:p>
        </w:tc>
        <w:tc>
          <w:tcPr>
            <w:tcW w:w="866"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研发费用总额（万元）</w:t>
            </w:r>
          </w:p>
        </w:tc>
        <w:tc>
          <w:tcPr>
            <w:tcW w:w="2713"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纳税报表：利润表中的研究开发费，如果利润表中没有研究开发费数据，可填写《研发费用加计扣除优惠明细表》的“本年研发费用加计扣除总额/加计扣除比例”；</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审计报告：利润表中的研究开发费，如果利润表中没有研究开发费数据，则填写研发经费专项审计报告中的研发费数据</w:t>
            </w:r>
          </w:p>
        </w:tc>
        <w:tc>
          <w:tcPr>
            <w:tcW w:w="1260"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成本费用总额（万元）</w:t>
            </w:r>
          </w:p>
        </w:tc>
        <w:tc>
          <w:tcPr>
            <w:tcW w:w="3252" w:type="dxa"/>
            <w:tcBorders>
              <w:tl2br w:val="nil"/>
              <w:tr2bl w:val="nil"/>
            </w:tcBorders>
            <w:shd w:val="clear" w:color="auto" w:fill="auto"/>
            <w:tcMar>
              <w:top w:w="57" w:type="dxa"/>
              <w:left w:w="57" w:type="dxa"/>
              <w:bottom w:w="57" w:type="dxa"/>
              <w:right w:w="57" w:type="dxa"/>
            </w:tcMar>
            <w:vAlign w:val="center"/>
          </w:tcPr>
          <w:p>
            <w:pPr>
              <w:pStyle w:val="5"/>
              <w:spacing w:beforeAutospacing="0" w:afterAutospacing="0"/>
              <w:rPr>
                <w:rFonts w:ascii="黑体" w:hAnsi="黑体" w:eastAsia="黑体" w:cs="黑体"/>
                <w:sz w:val="21"/>
                <w:szCs w:val="21"/>
              </w:rPr>
            </w:pPr>
            <w:r>
              <w:rPr>
                <w:rFonts w:hint="eastAsia" w:ascii="黑体" w:hAnsi="黑体" w:eastAsia="黑体" w:cs="黑体"/>
                <w:sz w:val="21"/>
                <w:szCs w:val="21"/>
              </w:rPr>
              <w:t>主要指营业成本。</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纳税报表：利润表中的营业成本或</w:t>
            </w:r>
            <w:r>
              <w:rPr>
                <w:rFonts w:ascii="Times New Roman" w:hAnsi="Times New Roman" w:eastAsia="仿宋_GB2312" w:cs="Times New Roman"/>
                <w:snapToGrid w:val="0"/>
                <w:sz w:val="21"/>
                <w:szCs w:val="21"/>
              </w:rPr>
              <w:t>A100000</w:t>
            </w:r>
            <w:r>
              <w:rPr>
                <w:rFonts w:hint="eastAsia" w:ascii="楷体_GB2312" w:hAnsi="楷体_GB2312" w:eastAsia="楷体_GB2312" w:cs="楷体_GB2312"/>
                <w:sz w:val="21"/>
                <w:szCs w:val="21"/>
              </w:rPr>
              <w:t>表中A2行次数据</w:t>
            </w:r>
          </w:p>
          <w:p>
            <w:pPr>
              <w:pStyle w:val="5"/>
              <w:spacing w:beforeAutospacing="0" w:afterAutospacing="0"/>
              <w:rPr>
                <w:rFonts w:ascii="楷体_GB2312" w:hAnsi="楷体_GB2312" w:eastAsia="楷体_GB2312" w:cs="楷体_GB2312"/>
                <w:sz w:val="21"/>
                <w:szCs w:val="21"/>
              </w:rPr>
            </w:pPr>
            <w:r>
              <w:rPr>
                <w:rFonts w:hint="eastAsia" w:ascii="楷体_GB2312" w:hAnsi="楷体_GB2312" w:eastAsia="楷体_GB2312" w:cs="楷体_GB2312"/>
                <w:sz w:val="21"/>
                <w:szCs w:val="21"/>
              </w:rPr>
              <w:t>审计报告：利润表中的营业成本</w:t>
            </w:r>
          </w:p>
        </w:tc>
      </w:tr>
    </w:tbl>
    <w:p>
      <w:pPr>
        <w:pStyle w:val="5"/>
        <w:widowControl w:val="0"/>
        <w:adjustRightInd w:val="0"/>
        <w:spacing w:before="0" w:beforeAutospacing="0" w:after="0" w:afterAutospacing="0"/>
        <w:jc w:val="both"/>
        <w:rPr>
          <w:rFonts w:ascii="仿宋_GB2312" w:hAnsi="仿宋_GB2312" w:eastAsia="仿宋_GB2312" w:cs="仿宋_GB2312"/>
          <w:snapToGrid w:val="0"/>
          <w:sz w:val="32"/>
          <w:szCs w:val="32"/>
        </w:rPr>
      </w:pPr>
    </w:p>
    <w:p>
      <w:pPr>
        <w:pStyle w:val="5"/>
        <w:widowControl w:val="0"/>
        <w:adjustRightInd w:val="0"/>
        <w:spacing w:before="0" w:beforeAutospacing="0" w:after="0" w:afterAutospacing="0"/>
        <w:jc w:val="center"/>
        <w:rPr>
          <w:rFonts w:ascii="仿宋_GB2312" w:hAnsi="仿宋_GB2312" w:eastAsia="仿宋_GB2312" w:cs="仿宋_GB2312"/>
          <w:snapToGrid w:val="0"/>
          <w:sz w:val="32"/>
          <w:szCs w:val="32"/>
        </w:rPr>
      </w:pPr>
      <w:r>
        <w:drawing>
          <wp:inline distT="0" distB="0" distL="0" distR="0">
            <wp:extent cx="3267075" cy="4037965"/>
            <wp:effectExtent l="19050" t="0" r="9525" b="0"/>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14" cstate="print"/>
                    <a:srcRect/>
                    <a:stretch>
                      <a:fillRect/>
                    </a:stretch>
                  </pic:blipFill>
                  <pic:spPr>
                    <a:xfrm>
                      <a:off x="0" y="0"/>
                      <a:ext cx="3267075" cy="4038599"/>
                    </a:xfrm>
                    <a:prstGeom prst="rect">
                      <a:avLst/>
                    </a:prstGeom>
                  </pic:spPr>
                </pic:pic>
              </a:graphicData>
            </a:graphic>
          </wp:inline>
        </w:drawing>
      </w:r>
    </w:p>
    <w:p>
      <w:pPr>
        <w:pStyle w:val="5"/>
        <w:widowControl w:val="0"/>
        <w:adjustRightInd w:val="0"/>
        <w:spacing w:before="0" w:beforeAutospacing="0" w:after="0" w:afterAutospacing="0"/>
        <w:jc w:val="cente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财务审计报告样式</w:t>
      </w:r>
    </w:p>
    <w:p>
      <w:pPr>
        <w:pStyle w:val="5"/>
        <w:widowControl w:val="0"/>
        <w:adjustRightInd w:val="0"/>
        <w:spacing w:before="0" w:beforeAutospacing="0" w:after="0" w:afterAutospacing="0"/>
        <w:ind w:firstLine="480" w:firstLineChars="200"/>
        <w:jc w:val="center"/>
        <w:rPr>
          <w:rFonts w:ascii="黑体" w:hAnsi="黑体" w:eastAsia="黑体" w:cs="黑体"/>
          <w:snapToGrid w:val="0"/>
          <w:sz w:val="32"/>
          <w:szCs w:val="32"/>
        </w:rPr>
      </w:pPr>
      <w:r>
        <w:drawing>
          <wp:inline distT="0" distB="0" distL="0" distR="0">
            <wp:extent cx="3121025" cy="3786505"/>
            <wp:effectExtent l="0" t="0" r="3175" b="4445"/>
            <wp:docPr id="1036" name="图片 7"/>
            <wp:cNvGraphicFramePr/>
            <a:graphic xmlns:a="http://schemas.openxmlformats.org/drawingml/2006/main">
              <a:graphicData uri="http://schemas.openxmlformats.org/drawingml/2006/picture">
                <pic:pic xmlns:pic="http://schemas.openxmlformats.org/drawingml/2006/picture">
                  <pic:nvPicPr>
                    <pic:cNvPr id="1036" name="图片 7"/>
                    <pic:cNvPicPr/>
                  </pic:nvPicPr>
                  <pic:blipFill>
                    <a:blip r:embed="rId15" cstate="print"/>
                    <a:srcRect/>
                    <a:stretch>
                      <a:fillRect/>
                    </a:stretch>
                  </pic:blipFill>
                  <pic:spPr>
                    <a:xfrm>
                      <a:off x="0" y="0"/>
                      <a:ext cx="3121025" cy="3786505"/>
                    </a:xfrm>
                    <a:prstGeom prst="rect">
                      <a:avLst/>
                    </a:prstGeom>
                  </pic:spPr>
                </pic:pic>
              </a:graphicData>
            </a:graphic>
          </wp:inline>
        </w:drawing>
      </w:r>
    </w:p>
    <w:p>
      <w:pPr>
        <w:pStyle w:val="5"/>
        <w:widowControl w:val="0"/>
        <w:adjustRightInd w:val="0"/>
        <w:spacing w:before="0" w:beforeAutospacing="0" w:after="0" w:afterAutospacing="0"/>
        <w:ind w:firstLine="960" w:firstLineChars="300"/>
        <w:jc w:val="center"/>
        <w:rPr>
          <w:rFonts w:ascii="仿宋_GB2312" w:hAnsi="仿宋_GB2312" w:eastAsia="仿宋_GB2312" w:cs="仿宋_GB2312"/>
          <w:snapToGrid w:val="0"/>
          <w:sz w:val="32"/>
          <w:szCs w:val="32"/>
        </w:rPr>
      </w:pPr>
      <w:r>
        <w:rPr>
          <w:rFonts w:hint="eastAsia" w:ascii="Times New Roman" w:hAnsi="Times New Roman" w:eastAsia="仿宋_GB2312" w:cs="Times New Roman"/>
          <w:snapToGrid w:val="0"/>
          <w:sz w:val="32"/>
          <w:szCs w:val="32"/>
        </w:rPr>
        <w:t>纳税申报表（</w:t>
      </w:r>
      <w:r>
        <w:rPr>
          <w:rFonts w:ascii="Times New Roman" w:hAnsi="Times New Roman" w:eastAsia="仿宋_GB2312" w:cs="Times New Roman"/>
          <w:snapToGrid w:val="0"/>
          <w:sz w:val="32"/>
          <w:szCs w:val="32"/>
        </w:rPr>
        <w:t>A</w:t>
      </w:r>
      <w:r>
        <w:rPr>
          <w:rFonts w:hint="eastAsia" w:ascii="Times New Roman" w:hAnsi="Times New Roman" w:eastAsia="仿宋_GB2312" w:cs="Times New Roman"/>
          <w:snapToGrid w:val="0"/>
          <w:sz w:val="32"/>
          <w:szCs w:val="32"/>
        </w:rPr>
        <w:t>类）</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七、关于瞪羚企业经营数据填写及佐证材料</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瞪羚企业评价须提供正规、详细的企业年度财务审计报告，如果年度财务审计报告没有研发经费数据，则须提供研发经费专项审计报告。</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正规的审计报告，审计单位已经盖了审计单位的公章。企业提供审计报告复印件扫描件时，首页需盖企业章，其它页骑缝</w:t>
      </w:r>
      <w:r>
        <w:rPr>
          <w:rFonts w:hint="eastAsia" w:ascii="仿宋_GB2312" w:hAnsi="仿宋_GB2312" w:eastAsia="仿宋_GB2312" w:cs="仿宋_GB2312"/>
          <w:snapToGrid w:val="0"/>
          <w:sz w:val="32"/>
          <w:szCs w:val="32"/>
        </w:rPr>
        <w:t>章</w:t>
      </w:r>
      <w:r>
        <w:rPr>
          <w:rFonts w:hint="eastAsia" w:ascii="Times New Roman" w:hAnsi="Times New Roman" w:eastAsia="仿宋_GB2312" w:cs="Times New Roman"/>
          <w:snapToGrid w:val="0"/>
          <w:sz w:val="32"/>
          <w:szCs w:val="32"/>
        </w:rPr>
        <w:t>。</w:t>
      </w:r>
    </w:p>
    <w:p>
      <w:pPr>
        <w:pStyle w:val="5"/>
        <w:widowControl w:val="0"/>
        <w:numPr>
          <w:ilvl w:val="0"/>
          <w:numId w:val="1"/>
        </w:numPr>
        <w:adjustRightInd w:val="0"/>
        <w:spacing w:before="0" w:beforeAutospacing="0" w:after="0" w:afterAutospacing="0"/>
        <w:ind w:firstLine="643" w:firstLineChars="200"/>
        <w:jc w:val="both"/>
        <w:rPr>
          <w:rFonts w:ascii="Times New Roman" w:hAnsi="Times New Roman" w:eastAsia="仿宋_GB2312" w:cs="Times New Roman"/>
          <w:b/>
          <w:bCs/>
          <w:snapToGrid w:val="0"/>
          <w:sz w:val="32"/>
          <w:szCs w:val="32"/>
        </w:rPr>
      </w:pPr>
      <w:r>
        <w:rPr>
          <w:rFonts w:hint="eastAsia" w:ascii="Times New Roman" w:hAnsi="Times New Roman" w:eastAsia="仿宋_GB2312" w:cs="Times New Roman"/>
          <w:b/>
          <w:bCs/>
          <w:snapToGrid w:val="0"/>
          <w:sz w:val="32"/>
          <w:szCs w:val="32"/>
        </w:rPr>
        <w:t>瞪羚企业相关数据填写说明见下表：</w:t>
      </w:r>
    </w:p>
    <w:tbl>
      <w:tblPr>
        <w:tblStyle w:val="19"/>
        <w:tblW w:w="9891" w:type="dxa"/>
        <w:jc w:val="center"/>
        <w:tblCellSpacing w:w="0" w:type="dxa"/>
        <w:tblInd w:w="-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3"/>
        <w:gridCol w:w="2050"/>
        <w:gridCol w:w="1954"/>
        <w:gridCol w:w="1409"/>
        <w:gridCol w:w="190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CellSpacing w:w="0" w:type="dxa"/>
          <w:jc w:val="center"/>
        </w:trPr>
        <w:tc>
          <w:tcPr>
            <w:tcW w:w="653" w:type="dxa"/>
            <w:tcBorders>
              <w:tl2br w:val="nil"/>
              <w:tr2bl w:val="nil"/>
            </w:tcBorders>
            <w:shd w:val="clear" w:color="auto" w:fill="auto"/>
            <w:tcMar>
              <w:top w:w="72" w:type="dxa"/>
              <w:left w:w="144" w:type="dxa"/>
              <w:bottom w:w="72" w:type="dxa"/>
              <w:right w:w="144" w:type="dxa"/>
            </w:tcMar>
            <w:vAlign w:val="center"/>
          </w:tcPr>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序号</w:t>
            </w:r>
          </w:p>
        </w:tc>
        <w:tc>
          <w:tcPr>
            <w:tcW w:w="2050" w:type="dxa"/>
            <w:tcBorders>
              <w:tl2br w:val="nil"/>
              <w:tr2bl w:val="nil"/>
            </w:tcBorders>
            <w:shd w:val="clear" w:color="auto" w:fill="auto"/>
            <w:tcMar>
              <w:top w:w="72" w:type="dxa"/>
              <w:left w:w="144" w:type="dxa"/>
              <w:bottom w:w="72" w:type="dxa"/>
              <w:right w:w="144" w:type="dxa"/>
            </w:tcMar>
            <w:vAlign w:val="center"/>
          </w:tcPr>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指标内容</w:t>
            </w:r>
          </w:p>
        </w:tc>
        <w:tc>
          <w:tcPr>
            <w:tcW w:w="1954" w:type="dxa"/>
            <w:tcBorders>
              <w:tl2br w:val="nil"/>
              <w:tr2bl w:val="nil"/>
            </w:tcBorders>
            <w:shd w:val="clear" w:color="auto" w:fill="auto"/>
            <w:tcMar>
              <w:top w:w="72" w:type="dxa"/>
              <w:left w:w="144" w:type="dxa"/>
              <w:bottom w:w="72" w:type="dxa"/>
              <w:right w:w="144" w:type="dxa"/>
            </w:tcMar>
            <w:vAlign w:val="center"/>
          </w:tcPr>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主要条件</w:t>
            </w:r>
          </w:p>
        </w:tc>
        <w:tc>
          <w:tcPr>
            <w:tcW w:w="1409" w:type="dxa"/>
            <w:tcBorders>
              <w:tl2br w:val="nil"/>
              <w:tr2bl w:val="nil"/>
            </w:tcBorders>
            <w:shd w:val="clear" w:color="auto" w:fill="auto"/>
            <w:tcMar>
              <w:top w:w="72" w:type="dxa"/>
              <w:left w:w="144" w:type="dxa"/>
              <w:bottom w:w="72" w:type="dxa"/>
              <w:right w:w="144" w:type="dxa"/>
            </w:tcMar>
            <w:vAlign w:val="center"/>
          </w:tcPr>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经营数据</w:t>
            </w:r>
          </w:p>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及佐证材料</w:t>
            </w:r>
          </w:p>
        </w:tc>
        <w:tc>
          <w:tcPr>
            <w:tcW w:w="1900" w:type="dxa"/>
            <w:tcBorders>
              <w:tl2br w:val="nil"/>
              <w:tr2bl w:val="nil"/>
            </w:tcBorders>
            <w:shd w:val="clear" w:color="auto" w:fill="auto"/>
            <w:tcMar>
              <w:top w:w="72" w:type="dxa"/>
              <w:left w:w="144" w:type="dxa"/>
              <w:bottom w:w="72" w:type="dxa"/>
              <w:right w:w="144" w:type="dxa"/>
            </w:tcMar>
            <w:vAlign w:val="center"/>
          </w:tcPr>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研发经费数据及佐证材料</w:t>
            </w:r>
          </w:p>
        </w:tc>
        <w:tc>
          <w:tcPr>
            <w:tcW w:w="1925" w:type="dxa"/>
            <w:tcBorders>
              <w:tl2br w:val="nil"/>
              <w:tr2bl w:val="nil"/>
            </w:tcBorders>
            <w:shd w:val="clear" w:color="auto" w:fill="auto"/>
            <w:tcMar>
              <w:top w:w="72" w:type="dxa"/>
              <w:left w:w="144" w:type="dxa"/>
              <w:bottom w:w="72" w:type="dxa"/>
              <w:right w:w="144" w:type="dxa"/>
            </w:tcMar>
            <w:vAlign w:val="center"/>
          </w:tcPr>
          <w:p>
            <w:pPr>
              <w:pStyle w:val="5"/>
              <w:snapToGrid w:val="0"/>
              <w:spacing w:before="0" w:beforeAutospacing="0" w:after="0" w:afterAutospacing="0"/>
              <w:jc w:val="center"/>
              <w:rPr>
                <w:rFonts w:ascii="黑体" w:hAnsi="黑体" w:eastAsia="黑体" w:cs="黑体"/>
                <w:bCs/>
                <w:sz w:val="21"/>
                <w:szCs w:val="21"/>
              </w:rPr>
            </w:pPr>
            <w:r>
              <w:rPr>
                <w:rFonts w:hint="eastAsia" w:ascii="黑体" w:hAnsi="黑体" w:eastAsia="黑体" w:cs="黑体"/>
                <w:bCs/>
                <w:sz w:val="21"/>
                <w:szCs w:val="21"/>
              </w:rPr>
              <w:t>企业职工数据及佐证材料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27" w:hRule="atLeast"/>
          <w:tblCellSpacing w:w="0" w:type="dxa"/>
          <w:jc w:val="center"/>
        </w:trPr>
        <w:tc>
          <w:tcPr>
            <w:tcW w:w="653"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jc w:val="center"/>
              <w:rPr>
                <w:bCs/>
                <w:sz w:val="21"/>
                <w:szCs w:val="21"/>
              </w:rPr>
            </w:pPr>
            <w:r>
              <w:rPr>
                <w:rFonts w:hint="eastAsia"/>
                <w:bCs/>
                <w:sz w:val="21"/>
                <w:szCs w:val="21"/>
              </w:rPr>
              <w:t>增长率指标一</w:t>
            </w:r>
          </w:p>
        </w:tc>
        <w:tc>
          <w:tcPr>
            <w:tcW w:w="2050"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bCs/>
                <w:sz w:val="21"/>
                <w:szCs w:val="21"/>
              </w:rPr>
              <w:t>企业注册时间20年（含）以内，基期营业收入1000万元（含）以上，基期至上一年度营业收入复合增长率不低于20%，且上一年度营业收入正增长。</w:t>
            </w:r>
          </w:p>
        </w:tc>
        <w:tc>
          <w:tcPr>
            <w:tcW w:w="1954"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w:t>
            </w:r>
            <w:r>
              <w:rPr>
                <w:bCs/>
                <w:sz w:val="21"/>
                <w:szCs w:val="21"/>
              </w:rPr>
              <w:t>2015年收入1000万元（含）以上，2018年收入不低于1728万元（含）</w:t>
            </w:r>
            <w:r>
              <w:rPr>
                <w:rFonts w:hint="eastAsia"/>
                <w:bCs/>
                <w:sz w:val="21"/>
                <w:szCs w:val="21"/>
              </w:rPr>
              <w:t>。</w:t>
            </w:r>
          </w:p>
          <w:p>
            <w:pPr>
              <w:pStyle w:val="5"/>
              <w:snapToGrid w:val="0"/>
              <w:spacing w:before="159" w:beforeLines="50" w:beforeAutospacing="0" w:after="159" w:afterLines="50" w:afterAutospacing="0"/>
              <w:rPr>
                <w:bCs/>
                <w:sz w:val="21"/>
                <w:szCs w:val="21"/>
              </w:rPr>
            </w:pPr>
            <w:r>
              <w:rPr>
                <w:rFonts w:hint="eastAsia"/>
                <w:bCs/>
                <w:sz w:val="21"/>
                <w:szCs w:val="21"/>
              </w:rPr>
              <w:t>2、2018年营业收入大于2017年营业收入。</w:t>
            </w:r>
          </w:p>
          <w:p>
            <w:pPr>
              <w:pStyle w:val="5"/>
              <w:snapToGrid w:val="0"/>
              <w:spacing w:before="159" w:beforeLines="50" w:beforeAutospacing="0" w:after="159" w:afterLines="50" w:afterAutospacing="0"/>
              <w:rPr>
                <w:bCs/>
                <w:sz w:val="21"/>
                <w:szCs w:val="21"/>
              </w:rPr>
            </w:pPr>
            <w:r>
              <w:rPr>
                <w:rFonts w:hint="eastAsia"/>
                <w:bCs/>
                <w:sz w:val="21"/>
                <w:szCs w:val="21"/>
              </w:rPr>
              <w:t>3、研发费用之和/营业收入之和≥2.5%。</w:t>
            </w:r>
          </w:p>
        </w:tc>
        <w:tc>
          <w:tcPr>
            <w:tcW w:w="1409" w:type="dxa"/>
            <w:vMerge w:val="restart"/>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1、须</w:t>
            </w:r>
            <w:r>
              <w:rPr>
                <w:bCs/>
                <w:sz w:val="21"/>
                <w:szCs w:val="21"/>
              </w:rPr>
              <w:t>填写2015、2016、2017、2018四个年度</w:t>
            </w:r>
            <w:r>
              <w:rPr>
                <w:rFonts w:hint="eastAsia"/>
                <w:bCs/>
                <w:sz w:val="21"/>
                <w:szCs w:val="21"/>
              </w:rPr>
              <w:t>经营</w:t>
            </w:r>
            <w:r>
              <w:rPr>
                <w:bCs/>
                <w:sz w:val="21"/>
                <w:szCs w:val="21"/>
              </w:rPr>
              <w:t>数据</w:t>
            </w:r>
            <w:r>
              <w:rPr>
                <w:rFonts w:hint="eastAsia"/>
                <w:bCs/>
                <w:sz w:val="21"/>
                <w:szCs w:val="21"/>
              </w:rPr>
              <w:t>；</w:t>
            </w:r>
          </w:p>
          <w:p>
            <w:pPr>
              <w:pStyle w:val="5"/>
              <w:snapToGrid w:val="0"/>
              <w:spacing w:before="159" w:beforeLines="50" w:beforeAutospacing="0" w:after="159" w:afterLines="50" w:afterAutospacing="0"/>
              <w:rPr>
                <w:bCs/>
                <w:sz w:val="21"/>
                <w:szCs w:val="21"/>
              </w:rPr>
            </w:pPr>
          </w:p>
          <w:p>
            <w:pPr>
              <w:pStyle w:val="5"/>
              <w:snapToGrid w:val="0"/>
              <w:spacing w:before="159" w:beforeLines="50" w:beforeAutospacing="0" w:after="159" w:afterLines="50" w:afterAutospacing="0"/>
              <w:rPr>
                <w:bCs/>
                <w:sz w:val="21"/>
                <w:szCs w:val="21"/>
              </w:rPr>
            </w:pPr>
            <w:r>
              <w:rPr>
                <w:rFonts w:hint="eastAsia"/>
                <w:bCs/>
                <w:sz w:val="21"/>
                <w:szCs w:val="21"/>
              </w:rPr>
              <w:t>2、须扫描上传</w:t>
            </w:r>
            <w:r>
              <w:rPr>
                <w:bCs/>
                <w:sz w:val="21"/>
                <w:szCs w:val="21"/>
              </w:rPr>
              <w:t>正规、</w:t>
            </w:r>
            <w:r>
              <w:rPr>
                <w:rFonts w:hint="eastAsia"/>
                <w:bCs/>
                <w:sz w:val="21"/>
                <w:szCs w:val="21"/>
              </w:rPr>
              <w:t>详细</w:t>
            </w:r>
            <w:r>
              <w:rPr>
                <w:bCs/>
                <w:sz w:val="21"/>
                <w:szCs w:val="21"/>
              </w:rPr>
              <w:t>的</w:t>
            </w:r>
            <w:r>
              <w:rPr>
                <w:rFonts w:hint="eastAsia"/>
                <w:bCs/>
                <w:sz w:val="21"/>
                <w:szCs w:val="21"/>
              </w:rPr>
              <w:t>上述</w:t>
            </w:r>
            <w:r>
              <w:rPr>
                <w:bCs/>
                <w:sz w:val="21"/>
                <w:szCs w:val="21"/>
              </w:rPr>
              <w:t>年度财务审计报告</w:t>
            </w:r>
            <w:r>
              <w:rPr>
                <w:rFonts w:hint="eastAsia"/>
                <w:bCs/>
                <w:sz w:val="21"/>
                <w:szCs w:val="21"/>
              </w:rPr>
              <w:t>。</w:t>
            </w:r>
          </w:p>
        </w:tc>
        <w:tc>
          <w:tcPr>
            <w:tcW w:w="1900" w:type="dxa"/>
            <w:vMerge w:val="restart"/>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1、须</w:t>
            </w:r>
            <w:r>
              <w:rPr>
                <w:bCs/>
                <w:sz w:val="21"/>
                <w:szCs w:val="21"/>
              </w:rPr>
              <w:t>填写2015、2016、2017、2018四个年度</w:t>
            </w:r>
            <w:r>
              <w:rPr>
                <w:rFonts w:hint="eastAsia"/>
                <w:bCs/>
                <w:sz w:val="21"/>
                <w:szCs w:val="21"/>
              </w:rPr>
              <w:t>研发经费</w:t>
            </w:r>
            <w:r>
              <w:rPr>
                <w:bCs/>
                <w:sz w:val="21"/>
                <w:szCs w:val="21"/>
              </w:rPr>
              <w:t>数据</w:t>
            </w:r>
            <w:r>
              <w:rPr>
                <w:rFonts w:hint="eastAsia"/>
                <w:bCs/>
                <w:sz w:val="21"/>
                <w:szCs w:val="21"/>
              </w:rPr>
              <w:t>；</w:t>
            </w:r>
          </w:p>
          <w:p>
            <w:pPr>
              <w:pStyle w:val="5"/>
              <w:snapToGrid w:val="0"/>
              <w:spacing w:before="159" w:beforeLines="50" w:beforeAutospacing="0" w:after="159" w:afterLines="50" w:afterAutospacing="0"/>
              <w:rPr>
                <w:bCs/>
                <w:sz w:val="21"/>
                <w:szCs w:val="21"/>
              </w:rPr>
            </w:pPr>
          </w:p>
          <w:p>
            <w:pPr>
              <w:pStyle w:val="5"/>
              <w:snapToGrid w:val="0"/>
              <w:spacing w:before="159" w:beforeLines="50" w:beforeAutospacing="0" w:after="159" w:afterLines="50" w:afterAutospacing="0"/>
              <w:rPr>
                <w:bCs/>
                <w:sz w:val="21"/>
                <w:szCs w:val="21"/>
              </w:rPr>
            </w:pPr>
            <w:r>
              <w:rPr>
                <w:rFonts w:hint="eastAsia"/>
                <w:bCs/>
                <w:sz w:val="21"/>
                <w:szCs w:val="21"/>
              </w:rPr>
              <w:t>2、须扫描上传</w:t>
            </w:r>
            <w:r>
              <w:rPr>
                <w:bCs/>
                <w:sz w:val="21"/>
                <w:szCs w:val="21"/>
              </w:rPr>
              <w:t>正规、</w:t>
            </w:r>
            <w:r>
              <w:rPr>
                <w:rFonts w:hint="eastAsia"/>
                <w:bCs/>
                <w:sz w:val="21"/>
                <w:szCs w:val="21"/>
              </w:rPr>
              <w:t>详细</w:t>
            </w:r>
            <w:r>
              <w:rPr>
                <w:bCs/>
                <w:sz w:val="21"/>
                <w:szCs w:val="21"/>
              </w:rPr>
              <w:t>的</w:t>
            </w:r>
            <w:r>
              <w:rPr>
                <w:rFonts w:hint="eastAsia"/>
                <w:bCs/>
                <w:sz w:val="21"/>
                <w:szCs w:val="21"/>
              </w:rPr>
              <w:t>上述</w:t>
            </w:r>
            <w:r>
              <w:rPr>
                <w:bCs/>
                <w:sz w:val="21"/>
                <w:szCs w:val="21"/>
              </w:rPr>
              <w:t>年度财务审计报告，如果年度财审计报告中没有研发经费数据，则还</w:t>
            </w:r>
            <w:r>
              <w:rPr>
                <w:rFonts w:hint="eastAsia"/>
                <w:bCs/>
                <w:sz w:val="21"/>
                <w:szCs w:val="21"/>
              </w:rPr>
              <w:t>须扫描上传</w:t>
            </w:r>
            <w:r>
              <w:rPr>
                <w:bCs/>
                <w:sz w:val="21"/>
                <w:szCs w:val="21"/>
              </w:rPr>
              <w:t>上述年度的</w:t>
            </w:r>
            <w:r>
              <w:rPr>
                <w:rFonts w:hint="eastAsia"/>
                <w:bCs/>
                <w:sz w:val="21"/>
                <w:szCs w:val="21"/>
              </w:rPr>
              <w:t>研发经费</w:t>
            </w:r>
            <w:r>
              <w:rPr>
                <w:bCs/>
                <w:sz w:val="21"/>
                <w:szCs w:val="21"/>
              </w:rPr>
              <w:t>专项审计报告。</w:t>
            </w:r>
          </w:p>
        </w:tc>
        <w:tc>
          <w:tcPr>
            <w:tcW w:w="1925"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不需要填写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CellSpacing w:w="0" w:type="dxa"/>
          <w:jc w:val="center"/>
        </w:trPr>
        <w:tc>
          <w:tcPr>
            <w:tcW w:w="653"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jc w:val="center"/>
              <w:rPr>
                <w:bCs/>
                <w:sz w:val="21"/>
                <w:szCs w:val="21"/>
              </w:rPr>
            </w:pPr>
            <w:r>
              <w:rPr>
                <w:rFonts w:hint="eastAsia"/>
                <w:bCs/>
                <w:sz w:val="21"/>
                <w:szCs w:val="21"/>
              </w:rPr>
              <w:t>增长率指标二</w:t>
            </w:r>
          </w:p>
        </w:tc>
        <w:tc>
          <w:tcPr>
            <w:tcW w:w="2050"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bCs/>
                <w:sz w:val="21"/>
                <w:szCs w:val="21"/>
              </w:rPr>
              <w:t>企业注册时间20年（含）以内，基期企业职工总数100人（含）以上，基期至上一年度企业职工总数复合增长率不低于30%，且上一年度营业收入正增长。</w:t>
            </w:r>
          </w:p>
        </w:tc>
        <w:tc>
          <w:tcPr>
            <w:tcW w:w="1954"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w:t>
            </w:r>
            <w:r>
              <w:rPr>
                <w:bCs/>
                <w:sz w:val="21"/>
                <w:szCs w:val="21"/>
              </w:rPr>
              <w:t>2015年企业职工总数100人（含）以上，2018年职工总数不低于220人（含）。</w:t>
            </w:r>
          </w:p>
          <w:p>
            <w:pPr>
              <w:pStyle w:val="5"/>
              <w:snapToGrid w:val="0"/>
              <w:spacing w:before="159" w:beforeLines="50" w:beforeAutospacing="0" w:after="159" w:afterLines="50" w:afterAutospacing="0"/>
              <w:rPr>
                <w:bCs/>
                <w:sz w:val="21"/>
                <w:szCs w:val="21"/>
              </w:rPr>
            </w:pPr>
            <w:r>
              <w:rPr>
                <w:rFonts w:hint="eastAsia"/>
                <w:bCs/>
                <w:sz w:val="21"/>
                <w:szCs w:val="21"/>
              </w:rPr>
              <w:t>2、2018年营业收入大于2017年营业收入。</w:t>
            </w:r>
          </w:p>
          <w:p>
            <w:pPr>
              <w:pStyle w:val="5"/>
              <w:snapToGrid w:val="0"/>
              <w:spacing w:before="159" w:beforeLines="50" w:beforeAutospacing="0" w:after="159" w:afterLines="50" w:afterAutospacing="0"/>
              <w:rPr>
                <w:bCs/>
                <w:sz w:val="21"/>
                <w:szCs w:val="21"/>
              </w:rPr>
            </w:pPr>
            <w:r>
              <w:rPr>
                <w:rFonts w:hint="eastAsia"/>
                <w:bCs/>
                <w:sz w:val="21"/>
                <w:szCs w:val="21"/>
              </w:rPr>
              <w:t>3、研发费用之和/营业收入之和≥2.5%。</w:t>
            </w:r>
          </w:p>
        </w:tc>
        <w:tc>
          <w:tcPr>
            <w:tcW w:w="1409"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c>
          <w:tcPr>
            <w:tcW w:w="1900"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c>
          <w:tcPr>
            <w:tcW w:w="1925"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1、须</w:t>
            </w:r>
            <w:r>
              <w:rPr>
                <w:bCs/>
                <w:sz w:val="21"/>
                <w:szCs w:val="21"/>
              </w:rPr>
              <w:t>填写2015、2018</w:t>
            </w:r>
            <w:r>
              <w:rPr>
                <w:rFonts w:hint="eastAsia"/>
                <w:bCs/>
                <w:sz w:val="21"/>
                <w:szCs w:val="21"/>
              </w:rPr>
              <w:t>两个</w:t>
            </w:r>
            <w:r>
              <w:rPr>
                <w:bCs/>
                <w:sz w:val="21"/>
                <w:szCs w:val="21"/>
              </w:rPr>
              <w:t>年度企业职工</w:t>
            </w:r>
            <w:r>
              <w:rPr>
                <w:rFonts w:hint="eastAsia"/>
                <w:bCs/>
                <w:sz w:val="21"/>
                <w:szCs w:val="21"/>
              </w:rPr>
              <w:t>人数；</w:t>
            </w:r>
          </w:p>
          <w:p>
            <w:pPr>
              <w:pStyle w:val="5"/>
              <w:snapToGrid w:val="0"/>
              <w:spacing w:before="159" w:beforeLines="50" w:beforeAutospacing="0" w:after="159" w:afterLines="50" w:afterAutospacing="0"/>
              <w:rPr>
                <w:bCs/>
                <w:sz w:val="21"/>
                <w:szCs w:val="21"/>
              </w:rPr>
            </w:pPr>
            <w:r>
              <w:rPr>
                <w:rFonts w:hint="eastAsia"/>
                <w:bCs/>
                <w:sz w:val="21"/>
                <w:szCs w:val="21"/>
              </w:rPr>
              <w:t>2、须扫描上传2015年、2018年每年第</w:t>
            </w:r>
            <w:r>
              <w:rPr>
                <w:bCs/>
                <w:sz w:val="21"/>
                <w:szCs w:val="21"/>
              </w:rPr>
              <w:t>1</w:t>
            </w:r>
            <w:r>
              <w:rPr>
                <w:rFonts w:hint="eastAsia"/>
                <w:bCs/>
                <w:sz w:val="21"/>
                <w:szCs w:val="21"/>
              </w:rPr>
              <w:t>、</w:t>
            </w:r>
            <w:r>
              <w:rPr>
                <w:bCs/>
                <w:sz w:val="21"/>
                <w:szCs w:val="21"/>
              </w:rPr>
              <w:t>3</w:t>
            </w:r>
            <w:r>
              <w:rPr>
                <w:rFonts w:hint="eastAsia"/>
                <w:bCs/>
                <w:sz w:val="21"/>
                <w:szCs w:val="21"/>
              </w:rPr>
              <w:t>、</w:t>
            </w:r>
            <w:r>
              <w:rPr>
                <w:bCs/>
                <w:sz w:val="21"/>
                <w:szCs w:val="21"/>
              </w:rPr>
              <w:t>4</w:t>
            </w:r>
            <w:r>
              <w:rPr>
                <w:rFonts w:hint="eastAsia"/>
                <w:bCs/>
                <w:sz w:val="21"/>
                <w:szCs w:val="21"/>
              </w:rPr>
              <w:t>、</w:t>
            </w:r>
            <w:r>
              <w:rPr>
                <w:bCs/>
                <w:sz w:val="21"/>
                <w:szCs w:val="21"/>
              </w:rPr>
              <w:t>6</w:t>
            </w:r>
            <w:r>
              <w:rPr>
                <w:rFonts w:hint="eastAsia"/>
                <w:bCs/>
                <w:sz w:val="21"/>
                <w:szCs w:val="21"/>
              </w:rPr>
              <w:t>、</w:t>
            </w:r>
            <w:r>
              <w:rPr>
                <w:bCs/>
                <w:sz w:val="21"/>
                <w:szCs w:val="21"/>
              </w:rPr>
              <w:t>7</w:t>
            </w:r>
            <w:r>
              <w:rPr>
                <w:rFonts w:hint="eastAsia"/>
                <w:bCs/>
                <w:sz w:val="21"/>
                <w:szCs w:val="21"/>
              </w:rPr>
              <w:t>、</w:t>
            </w:r>
            <w:r>
              <w:rPr>
                <w:bCs/>
                <w:sz w:val="21"/>
                <w:szCs w:val="21"/>
              </w:rPr>
              <w:t>9</w:t>
            </w:r>
            <w:r>
              <w:rPr>
                <w:rFonts w:hint="eastAsia"/>
                <w:bCs/>
                <w:sz w:val="21"/>
                <w:szCs w:val="21"/>
              </w:rPr>
              <w:t>、</w:t>
            </w:r>
            <w:r>
              <w:rPr>
                <w:bCs/>
                <w:sz w:val="21"/>
                <w:szCs w:val="21"/>
              </w:rPr>
              <w:t>10</w:t>
            </w:r>
            <w:r>
              <w:rPr>
                <w:rFonts w:hint="eastAsia"/>
                <w:bCs/>
                <w:sz w:val="21"/>
                <w:szCs w:val="21"/>
              </w:rPr>
              <w:t>、</w:t>
            </w:r>
            <w:r>
              <w:rPr>
                <w:bCs/>
                <w:sz w:val="21"/>
                <w:szCs w:val="21"/>
              </w:rPr>
              <w:t>12</w:t>
            </w:r>
            <w:r>
              <w:rPr>
                <w:rFonts w:hint="eastAsia"/>
                <w:bCs/>
                <w:sz w:val="21"/>
                <w:szCs w:val="21"/>
              </w:rPr>
              <w:t>月的职工社会保险缴费通知单。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67" w:hRule="atLeast"/>
          <w:tblCellSpacing w:w="0" w:type="dxa"/>
          <w:jc w:val="center"/>
        </w:trPr>
        <w:tc>
          <w:tcPr>
            <w:tcW w:w="653"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jc w:val="center"/>
              <w:rPr>
                <w:bCs/>
                <w:sz w:val="21"/>
                <w:szCs w:val="21"/>
              </w:rPr>
            </w:pPr>
            <w:r>
              <w:rPr>
                <w:rFonts w:hint="eastAsia"/>
                <w:bCs/>
                <w:sz w:val="21"/>
                <w:szCs w:val="21"/>
              </w:rPr>
              <w:t>增长率指标三</w:t>
            </w:r>
          </w:p>
        </w:tc>
        <w:tc>
          <w:tcPr>
            <w:tcW w:w="2050"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bCs/>
                <w:sz w:val="21"/>
                <w:szCs w:val="21"/>
              </w:rPr>
              <w:t>企业注册时间5年（含）以内，上一年度营业收入不低于5亿元，且上一年度营业收入正增长。</w:t>
            </w:r>
          </w:p>
        </w:tc>
        <w:tc>
          <w:tcPr>
            <w:tcW w:w="1954"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w:t>
            </w:r>
            <w:r>
              <w:rPr>
                <w:bCs/>
                <w:sz w:val="21"/>
                <w:szCs w:val="21"/>
              </w:rPr>
              <w:t>2018年营业收入不低于5亿元</w:t>
            </w:r>
            <w:r>
              <w:rPr>
                <w:rFonts w:hint="eastAsia"/>
                <w:bCs/>
                <w:sz w:val="21"/>
                <w:szCs w:val="21"/>
              </w:rPr>
              <w:t>（含）</w:t>
            </w:r>
            <w:r>
              <w:rPr>
                <w:bCs/>
                <w:sz w:val="21"/>
                <w:szCs w:val="21"/>
              </w:rPr>
              <w:t>。</w:t>
            </w:r>
          </w:p>
          <w:p>
            <w:pPr>
              <w:pStyle w:val="5"/>
              <w:snapToGrid w:val="0"/>
              <w:spacing w:before="159" w:beforeLines="50" w:beforeAutospacing="0" w:after="159" w:afterLines="50" w:afterAutospacing="0"/>
              <w:rPr>
                <w:bCs/>
                <w:sz w:val="21"/>
                <w:szCs w:val="21"/>
              </w:rPr>
            </w:pPr>
            <w:r>
              <w:rPr>
                <w:rFonts w:hint="eastAsia"/>
                <w:bCs/>
                <w:sz w:val="21"/>
                <w:szCs w:val="21"/>
              </w:rPr>
              <w:t>2、2018年营业收入大于2017年营业收入。</w:t>
            </w:r>
          </w:p>
          <w:p>
            <w:pPr>
              <w:pStyle w:val="5"/>
              <w:snapToGrid w:val="0"/>
              <w:spacing w:before="159" w:beforeLines="50" w:beforeAutospacing="0" w:after="159" w:afterLines="50" w:afterAutospacing="0"/>
              <w:rPr>
                <w:bCs/>
                <w:sz w:val="21"/>
                <w:szCs w:val="21"/>
              </w:rPr>
            </w:pPr>
            <w:r>
              <w:rPr>
                <w:rFonts w:hint="eastAsia"/>
                <w:bCs/>
                <w:sz w:val="21"/>
                <w:szCs w:val="21"/>
              </w:rPr>
              <w:t>3、研发费用之和/营业收入之和≥2.5%。</w:t>
            </w:r>
          </w:p>
        </w:tc>
        <w:tc>
          <w:tcPr>
            <w:tcW w:w="1409" w:type="dxa"/>
            <w:vMerge w:val="restart"/>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1、须</w:t>
            </w:r>
            <w:r>
              <w:rPr>
                <w:bCs/>
                <w:sz w:val="21"/>
                <w:szCs w:val="21"/>
              </w:rPr>
              <w:t>填写2015、2016、2017、2018四个年度（注册时间不足四年的，提供注册年至2018年）</w:t>
            </w:r>
            <w:r>
              <w:rPr>
                <w:rFonts w:hint="eastAsia"/>
                <w:bCs/>
                <w:sz w:val="21"/>
                <w:szCs w:val="21"/>
              </w:rPr>
              <w:t>经营</w:t>
            </w:r>
            <w:r>
              <w:rPr>
                <w:bCs/>
                <w:sz w:val="21"/>
                <w:szCs w:val="21"/>
              </w:rPr>
              <w:t>数据</w:t>
            </w:r>
            <w:r>
              <w:rPr>
                <w:rFonts w:hint="eastAsia"/>
                <w:bCs/>
                <w:sz w:val="21"/>
                <w:szCs w:val="21"/>
              </w:rPr>
              <w:t>；</w:t>
            </w:r>
          </w:p>
          <w:p>
            <w:pPr>
              <w:pStyle w:val="5"/>
              <w:snapToGrid w:val="0"/>
              <w:spacing w:before="159" w:beforeLines="50" w:beforeAutospacing="0" w:after="159" w:afterLines="50" w:afterAutospacing="0"/>
              <w:rPr>
                <w:bCs/>
                <w:sz w:val="21"/>
                <w:szCs w:val="21"/>
              </w:rPr>
            </w:pPr>
          </w:p>
          <w:p>
            <w:pPr>
              <w:pStyle w:val="5"/>
              <w:snapToGrid w:val="0"/>
              <w:spacing w:before="159" w:beforeLines="50" w:beforeAutospacing="0" w:after="159" w:afterLines="50" w:afterAutospacing="0"/>
              <w:rPr>
                <w:bCs/>
                <w:sz w:val="21"/>
                <w:szCs w:val="21"/>
              </w:rPr>
            </w:pPr>
            <w:r>
              <w:rPr>
                <w:rFonts w:hint="eastAsia"/>
                <w:bCs/>
                <w:sz w:val="21"/>
                <w:szCs w:val="21"/>
              </w:rPr>
              <w:t>2、须</w:t>
            </w:r>
            <w:r>
              <w:rPr>
                <w:bCs/>
                <w:sz w:val="21"/>
                <w:szCs w:val="21"/>
              </w:rPr>
              <w:t>扫描上传2015、2016、2017、2018年（注册时间不足四年的，上传注册年至2018年）正规、</w:t>
            </w:r>
            <w:r>
              <w:rPr>
                <w:rFonts w:hint="eastAsia"/>
                <w:bCs/>
                <w:sz w:val="21"/>
                <w:szCs w:val="21"/>
              </w:rPr>
              <w:t>详细</w:t>
            </w:r>
            <w:r>
              <w:rPr>
                <w:bCs/>
                <w:sz w:val="21"/>
                <w:szCs w:val="21"/>
              </w:rPr>
              <w:t>的年度财务审计报告。</w:t>
            </w:r>
          </w:p>
        </w:tc>
        <w:tc>
          <w:tcPr>
            <w:tcW w:w="1900" w:type="dxa"/>
            <w:vMerge w:val="restart"/>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1、须</w:t>
            </w:r>
            <w:r>
              <w:rPr>
                <w:bCs/>
                <w:sz w:val="21"/>
                <w:szCs w:val="21"/>
              </w:rPr>
              <w:t>填写2015、2016、2017、2018四个年度（注册时间不足四年的，提供注册年至2018年）</w:t>
            </w:r>
            <w:r>
              <w:rPr>
                <w:rFonts w:hint="eastAsia"/>
                <w:bCs/>
                <w:sz w:val="21"/>
                <w:szCs w:val="21"/>
              </w:rPr>
              <w:t>研发经费</w:t>
            </w:r>
            <w:r>
              <w:rPr>
                <w:bCs/>
                <w:sz w:val="21"/>
                <w:szCs w:val="21"/>
              </w:rPr>
              <w:t>数据</w:t>
            </w:r>
            <w:r>
              <w:rPr>
                <w:rFonts w:hint="eastAsia"/>
                <w:bCs/>
                <w:sz w:val="21"/>
                <w:szCs w:val="21"/>
              </w:rPr>
              <w:t>；</w:t>
            </w:r>
          </w:p>
          <w:p>
            <w:pPr>
              <w:pStyle w:val="5"/>
              <w:snapToGrid w:val="0"/>
              <w:spacing w:before="159" w:beforeLines="50" w:beforeAutospacing="0" w:after="159" w:afterLines="50" w:afterAutospacing="0"/>
              <w:rPr>
                <w:bCs/>
                <w:sz w:val="21"/>
                <w:szCs w:val="21"/>
              </w:rPr>
            </w:pPr>
          </w:p>
          <w:p>
            <w:pPr>
              <w:pStyle w:val="5"/>
              <w:snapToGrid w:val="0"/>
              <w:spacing w:before="159" w:beforeLines="50" w:beforeAutospacing="0" w:after="159" w:afterLines="50" w:afterAutospacing="0"/>
              <w:rPr>
                <w:bCs/>
                <w:sz w:val="21"/>
                <w:szCs w:val="21"/>
              </w:rPr>
            </w:pPr>
            <w:r>
              <w:rPr>
                <w:rFonts w:hint="eastAsia"/>
                <w:bCs/>
                <w:sz w:val="21"/>
                <w:szCs w:val="21"/>
              </w:rPr>
              <w:t>2、须</w:t>
            </w:r>
            <w:r>
              <w:rPr>
                <w:bCs/>
                <w:sz w:val="21"/>
                <w:szCs w:val="21"/>
              </w:rPr>
              <w:t>扫描上传2015、2016、2017、2018年（注册时间不足四年的，上传注册年至2018年）正规、</w:t>
            </w:r>
            <w:r>
              <w:rPr>
                <w:rFonts w:hint="eastAsia"/>
                <w:bCs/>
                <w:sz w:val="21"/>
                <w:szCs w:val="21"/>
              </w:rPr>
              <w:t>详细</w:t>
            </w:r>
            <w:r>
              <w:rPr>
                <w:bCs/>
                <w:sz w:val="21"/>
                <w:szCs w:val="21"/>
              </w:rPr>
              <w:t>的年度财务审计报告</w:t>
            </w:r>
            <w:r>
              <w:rPr>
                <w:rFonts w:hint="eastAsia"/>
                <w:bCs/>
                <w:sz w:val="21"/>
                <w:szCs w:val="21"/>
              </w:rPr>
              <w:t>，</w:t>
            </w:r>
            <w:r>
              <w:rPr>
                <w:bCs/>
                <w:sz w:val="21"/>
                <w:szCs w:val="21"/>
              </w:rPr>
              <w:t>若年度财务审计报告中没有研发经费数据，则还</w:t>
            </w:r>
            <w:r>
              <w:rPr>
                <w:rFonts w:hint="eastAsia"/>
                <w:bCs/>
                <w:sz w:val="21"/>
                <w:szCs w:val="21"/>
              </w:rPr>
              <w:t>须</w:t>
            </w:r>
            <w:r>
              <w:rPr>
                <w:bCs/>
                <w:sz w:val="21"/>
                <w:szCs w:val="21"/>
              </w:rPr>
              <w:t>上传上述年度的研发经费专项审计报告。</w:t>
            </w:r>
          </w:p>
        </w:tc>
        <w:tc>
          <w:tcPr>
            <w:tcW w:w="1925" w:type="dxa"/>
            <w:vMerge w:val="restart"/>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不需要填写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95" w:hRule="atLeast"/>
          <w:tblCellSpacing w:w="0" w:type="dxa"/>
          <w:jc w:val="center"/>
        </w:trPr>
        <w:tc>
          <w:tcPr>
            <w:tcW w:w="653"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jc w:val="center"/>
              <w:rPr>
                <w:bCs/>
                <w:sz w:val="21"/>
                <w:szCs w:val="21"/>
              </w:rPr>
            </w:pPr>
            <w:r>
              <w:rPr>
                <w:rFonts w:hint="eastAsia"/>
                <w:bCs/>
                <w:sz w:val="21"/>
                <w:szCs w:val="21"/>
              </w:rPr>
              <w:t>增长率指标四</w:t>
            </w:r>
          </w:p>
        </w:tc>
        <w:tc>
          <w:tcPr>
            <w:tcW w:w="2050"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bCs/>
                <w:sz w:val="21"/>
                <w:szCs w:val="21"/>
              </w:rPr>
              <w:t>企业注册时间10年（含）以内，上一年度营业收入不低于10亿元，且上一年度营业收入正增长。</w:t>
            </w:r>
          </w:p>
        </w:tc>
        <w:tc>
          <w:tcPr>
            <w:tcW w:w="1954"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w:t>
            </w:r>
            <w:r>
              <w:rPr>
                <w:bCs/>
                <w:sz w:val="21"/>
                <w:szCs w:val="21"/>
              </w:rPr>
              <w:t>2018年营业收入不低于</w:t>
            </w:r>
            <w:r>
              <w:rPr>
                <w:rFonts w:hint="eastAsia"/>
                <w:bCs/>
                <w:sz w:val="21"/>
                <w:szCs w:val="21"/>
              </w:rPr>
              <w:t>10</w:t>
            </w:r>
            <w:r>
              <w:rPr>
                <w:bCs/>
                <w:sz w:val="21"/>
                <w:szCs w:val="21"/>
              </w:rPr>
              <w:t>亿元</w:t>
            </w:r>
            <w:r>
              <w:rPr>
                <w:rFonts w:hint="eastAsia"/>
                <w:bCs/>
                <w:sz w:val="21"/>
                <w:szCs w:val="21"/>
              </w:rPr>
              <w:t>（含）</w:t>
            </w:r>
            <w:r>
              <w:rPr>
                <w:bCs/>
                <w:sz w:val="21"/>
                <w:szCs w:val="21"/>
              </w:rPr>
              <w:t>。</w:t>
            </w:r>
          </w:p>
          <w:p>
            <w:pPr>
              <w:pStyle w:val="5"/>
              <w:snapToGrid w:val="0"/>
              <w:spacing w:before="159" w:beforeLines="50" w:beforeAutospacing="0" w:after="159" w:afterLines="50" w:afterAutospacing="0"/>
              <w:rPr>
                <w:bCs/>
                <w:sz w:val="21"/>
                <w:szCs w:val="21"/>
              </w:rPr>
            </w:pPr>
            <w:r>
              <w:rPr>
                <w:rFonts w:hint="eastAsia"/>
                <w:bCs/>
                <w:sz w:val="21"/>
                <w:szCs w:val="21"/>
              </w:rPr>
              <w:t>2、2018年营业收入大于2017年营业收入。</w:t>
            </w:r>
          </w:p>
          <w:p>
            <w:pPr>
              <w:pStyle w:val="5"/>
              <w:snapToGrid w:val="0"/>
              <w:spacing w:before="159" w:beforeLines="50" w:beforeAutospacing="0" w:after="159" w:afterLines="50" w:afterAutospacing="0"/>
              <w:rPr>
                <w:bCs/>
                <w:sz w:val="21"/>
                <w:szCs w:val="21"/>
              </w:rPr>
            </w:pPr>
            <w:r>
              <w:rPr>
                <w:rFonts w:hint="eastAsia"/>
                <w:bCs/>
                <w:sz w:val="21"/>
                <w:szCs w:val="21"/>
              </w:rPr>
              <w:t>3、研发费用之和/营业收入之和≥2.5%。</w:t>
            </w:r>
          </w:p>
        </w:tc>
        <w:tc>
          <w:tcPr>
            <w:tcW w:w="1409"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c>
          <w:tcPr>
            <w:tcW w:w="1900"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c>
          <w:tcPr>
            <w:tcW w:w="1925"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20" w:hRule="atLeast"/>
          <w:tblCellSpacing w:w="0" w:type="dxa"/>
          <w:jc w:val="center"/>
        </w:trPr>
        <w:tc>
          <w:tcPr>
            <w:tcW w:w="653"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jc w:val="center"/>
              <w:rPr>
                <w:bCs/>
                <w:sz w:val="21"/>
                <w:szCs w:val="21"/>
              </w:rPr>
            </w:pPr>
            <w:r>
              <w:rPr>
                <w:rFonts w:hint="eastAsia"/>
                <w:bCs/>
                <w:sz w:val="21"/>
                <w:szCs w:val="21"/>
              </w:rPr>
              <w:t>增长率指标五</w:t>
            </w:r>
          </w:p>
        </w:tc>
        <w:tc>
          <w:tcPr>
            <w:tcW w:w="2050"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bCs/>
                <w:sz w:val="21"/>
                <w:szCs w:val="21"/>
              </w:rPr>
              <w:t>企业一次性获得风险投资1000万元（含）以上（或等值外币）。</w:t>
            </w:r>
          </w:p>
        </w:tc>
        <w:tc>
          <w:tcPr>
            <w:tcW w:w="1954" w:type="dxa"/>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Cs/>
                <w:sz w:val="21"/>
                <w:szCs w:val="21"/>
              </w:rPr>
              <w:t>1、</w:t>
            </w:r>
            <w:r>
              <w:rPr>
                <w:bCs/>
                <w:sz w:val="21"/>
                <w:szCs w:val="21"/>
              </w:rPr>
              <w:t>企业一次性获得风险投资1000万元</w:t>
            </w:r>
            <w:r>
              <w:rPr>
                <w:rFonts w:hint="eastAsia"/>
                <w:bCs/>
                <w:sz w:val="21"/>
                <w:szCs w:val="21"/>
              </w:rPr>
              <w:t>。</w:t>
            </w:r>
          </w:p>
          <w:p>
            <w:pPr>
              <w:pStyle w:val="5"/>
              <w:snapToGrid w:val="0"/>
              <w:spacing w:before="159" w:beforeLines="50" w:beforeAutospacing="0" w:after="159" w:afterLines="50" w:afterAutospacing="0"/>
              <w:rPr>
                <w:bCs/>
                <w:sz w:val="21"/>
                <w:szCs w:val="21"/>
              </w:rPr>
            </w:pPr>
            <w:r>
              <w:rPr>
                <w:rFonts w:hint="eastAsia"/>
                <w:bCs/>
                <w:sz w:val="21"/>
                <w:szCs w:val="21"/>
              </w:rPr>
              <w:t>2、须</w:t>
            </w:r>
            <w:r>
              <w:rPr>
                <w:bCs/>
                <w:sz w:val="21"/>
                <w:szCs w:val="21"/>
              </w:rPr>
              <w:t>提供风险投资相关证明文件</w:t>
            </w:r>
            <w:r>
              <w:rPr>
                <w:rFonts w:hint="eastAsia"/>
                <w:bCs/>
                <w:sz w:val="21"/>
                <w:szCs w:val="21"/>
              </w:rPr>
              <w:t>。</w:t>
            </w:r>
          </w:p>
          <w:p>
            <w:pPr>
              <w:pStyle w:val="5"/>
              <w:snapToGrid w:val="0"/>
              <w:spacing w:before="159" w:beforeLines="50" w:beforeAutospacing="0" w:after="159" w:afterLines="50" w:afterAutospacing="0"/>
              <w:rPr>
                <w:bCs/>
                <w:sz w:val="21"/>
                <w:szCs w:val="21"/>
              </w:rPr>
            </w:pPr>
            <w:r>
              <w:rPr>
                <w:rFonts w:hint="eastAsia"/>
                <w:bCs/>
                <w:sz w:val="21"/>
                <w:szCs w:val="21"/>
              </w:rPr>
              <w:t>3、研发费用之和/营业收入之和≥2.5%。</w:t>
            </w:r>
          </w:p>
        </w:tc>
        <w:tc>
          <w:tcPr>
            <w:tcW w:w="1409"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c>
          <w:tcPr>
            <w:tcW w:w="1900"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c>
          <w:tcPr>
            <w:tcW w:w="1925" w:type="dxa"/>
            <w:vMerge w:val="continue"/>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806" w:hRule="atLeast"/>
          <w:tblCellSpacing w:w="0" w:type="dxa"/>
          <w:jc w:val="center"/>
        </w:trPr>
        <w:tc>
          <w:tcPr>
            <w:tcW w:w="2703" w:type="dxa"/>
            <w:gridSpan w:val="2"/>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rPr>
                <w:bCs/>
                <w:sz w:val="21"/>
                <w:szCs w:val="21"/>
              </w:rPr>
            </w:pPr>
            <w:r>
              <w:rPr>
                <w:rFonts w:hint="eastAsia"/>
                <w:b/>
                <w:sz w:val="21"/>
                <w:szCs w:val="21"/>
              </w:rPr>
              <w:t>特别说明</w:t>
            </w:r>
          </w:p>
        </w:tc>
        <w:tc>
          <w:tcPr>
            <w:tcW w:w="7188" w:type="dxa"/>
            <w:gridSpan w:val="4"/>
            <w:tcBorders>
              <w:tl2br w:val="nil"/>
              <w:tr2bl w:val="nil"/>
            </w:tcBorders>
            <w:shd w:val="clear" w:color="auto" w:fill="auto"/>
            <w:tcMar>
              <w:top w:w="72" w:type="dxa"/>
              <w:left w:w="144" w:type="dxa"/>
              <w:bottom w:w="72" w:type="dxa"/>
              <w:right w:w="144" w:type="dxa"/>
            </w:tcMar>
            <w:vAlign w:val="center"/>
          </w:tcPr>
          <w:p>
            <w:pPr>
              <w:pStyle w:val="5"/>
              <w:snapToGrid w:val="0"/>
              <w:spacing w:before="159" w:beforeLines="50" w:beforeAutospacing="0" w:after="159" w:afterLines="50" w:afterAutospacing="0"/>
              <w:ind w:firstLine="420"/>
              <w:rPr>
                <w:bCs/>
                <w:sz w:val="21"/>
                <w:szCs w:val="21"/>
              </w:rPr>
            </w:pPr>
            <w:r>
              <w:rPr>
                <w:rFonts w:hint="eastAsia"/>
                <w:b/>
                <w:sz w:val="21"/>
                <w:szCs w:val="21"/>
              </w:rPr>
              <w:t>注册不满4年（2015.1.1后注册）的企业，如果提供不了注册当年的财务审计报告、研发费专项审计报告，可以提供当年度的纳税报表作为佐证材料（参见七、关于雏鹰企业经营数据填写及佐证材料）。如果审计报告和纳税报表企业都提供不了，则经营数据、研发费数据填写为0。</w:t>
            </w:r>
          </w:p>
        </w:tc>
      </w:tr>
    </w:tbl>
    <w:p>
      <w:pPr>
        <w:pStyle w:val="5"/>
        <w:widowControl w:val="0"/>
        <w:adjustRightInd w:val="0"/>
        <w:spacing w:before="0" w:beforeAutospacing="0" w:after="0" w:afterAutospacing="0"/>
        <w:ind w:firstLine="640" w:firstLineChars="200"/>
        <w:rPr>
          <w:rFonts w:ascii="仿宋_GB2312" w:hAnsi="仿宋_GB2312" w:eastAsia="仿宋_GB2312" w:cs="仿宋_GB2312"/>
          <w:snapToGrid w:val="0"/>
          <w:sz w:val="32"/>
          <w:szCs w:val="32"/>
        </w:rPr>
      </w:pPr>
    </w:p>
    <w:p>
      <w:pPr>
        <w:pStyle w:val="5"/>
        <w:widowControl w:val="0"/>
        <w:adjustRightInd w:val="0"/>
        <w:spacing w:before="0" w:beforeAutospacing="0" w:after="0" w:afterAutospacing="0"/>
        <w:ind w:firstLine="640" w:firstLineChars="200"/>
        <w:rPr>
          <w:rFonts w:ascii="仿宋_GB2312" w:hAnsi="仿宋_GB2312" w:eastAsia="仿宋_GB2312" w:cs="仿宋_GB2312"/>
          <w:snapToGrid w:val="0"/>
          <w:sz w:val="32"/>
          <w:szCs w:val="32"/>
        </w:rPr>
      </w:pPr>
    </w:p>
    <w:p>
      <w:pPr>
        <w:pStyle w:val="5"/>
        <w:widowControl w:val="0"/>
        <w:adjustRightInd w:val="0"/>
        <w:spacing w:before="0" w:beforeAutospacing="0" w:after="0" w:afterAutospacing="0"/>
        <w:ind w:firstLine="640" w:firstLineChars="200"/>
        <w:rPr>
          <w:rFonts w:ascii="仿宋_GB2312" w:hAnsi="仿宋_GB2312" w:eastAsia="仿宋_GB2312" w:cs="仿宋_GB2312"/>
          <w:snapToGrid w:val="0"/>
          <w:sz w:val="32"/>
          <w:szCs w:val="32"/>
        </w:rPr>
      </w:pPr>
    </w:p>
    <w:p>
      <w:pPr>
        <w:pStyle w:val="5"/>
        <w:widowControl w:val="0"/>
        <w:adjustRightInd w:val="0"/>
        <w:spacing w:before="0" w:beforeAutospacing="0" w:after="0" w:afterAutospacing="0"/>
        <w:ind w:firstLine="640" w:firstLineChars="200"/>
        <w:rPr>
          <w:rFonts w:ascii="仿宋_GB2312" w:hAnsi="仿宋_GB2312" w:eastAsia="仿宋_GB2312" w:cs="仿宋_GB2312"/>
          <w:b/>
          <w:bCs/>
          <w:snapToGrid w:val="0"/>
          <w:sz w:val="32"/>
          <w:szCs w:val="32"/>
        </w:rPr>
      </w:pPr>
      <w:r>
        <w:rPr>
          <w:rFonts w:hint="eastAsia" w:ascii="仿宋_GB2312" w:hAnsi="仿宋_GB2312" w:eastAsia="仿宋_GB2312" w:cs="仿宋_GB2312"/>
          <w:snapToGrid w:val="0"/>
          <w:sz w:val="32"/>
          <w:szCs w:val="32"/>
        </w:rPr>
        <w:t>企业可以根据注册时间及自身情况选择一个增长率指标进行评价。</w:t>
      </w:r>
    </w:p>
    <w:tbl>
      <w:tblPr>
        <w:tblStyle w:val="20"/>
        <w:tblW w:w="9663" w:type="dxa"/>
        <w:jc w:val="center"/>
        <w:tblInd w:w="-10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2957"/>
        <w:gridCol w:w="997"/>
        <w:gridCol w:w="981"/>
        <w:gridCol w:w="1015"/>
        <w:gridCol w:w="976"/>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center"/>
        </w:trPr>
        <w:tc>
          <w:tcPr>
            <w:tcW w:w="4724" w:type="dxa"/>
            <w:gridSpan w:val="2"/>
            <w:vMerge w:val="restart"/>
            <w:vAlign w:val="center"/>
          </w:tcPr>
          <w:p>
            <w:pPr>
              <w:pStyle w:val="5"/>
              <w:widowControl w:val="0"/>
              <w:adjustRightInd w:val="0"/>
              <w:spacing w:before="0" w:beforeAutospacing="0" w:after="0" w:afterAutospacing="0"/>
              <w:jc w:val="center"/>
              <w:rPr>
                <w:rFonts w:ascii="黑体" w:hAnsi="黑体" w:eastAsia="黑体" w:cs="黑体"/>
                <w:snapToGrid w:val="0"/>
              </w:rPr>
            </w:pPr>
            <w:r>
              <w:rPr>
                <w:rFonts w:hint="eastAsia" w:ascii="黑体" w:hAnsi="黑体" w:eastAsia="黑体" w:cs="黑体"/>
                <w:snapToGrid w:val="0"/>
              </w:rPr>
              <w:t>企业注册时间</w:t>
            </w:r>
          </w:p>
        </w:tc>
        <w:tc>
          <w:tcPr>
            <w:tcW w:w="4939" w:type="dxa"/>
            <w:gridSpan w:val="5"/>
            <w:vAlign w:val="center"/>
          </w:tcPr>
          <w:p>
            <w:pPr>
              <w:pStyle w:val="5"/>
              <w:widowControl w:val="0"/>
              <w:adjustRightInd w:val="0"/>
              <w:spacing w:before="0" w:beforeAutospacing="0" w:after="0" w:afterAutospacing="0"/>
              <w:jc w:val="center"/>
              <w:rPr>
                <w:rFonts w:ascii="黑体" w:hAnsi="黑体" w:eastAsia="黑体" w:cs="黑体"/>
                <w:bCs/>
              </w:rPr>
            </w:pPr>
            <w:r>
              <w:rPr>
                <w:rFonts w:hint="eastAsia" w:ascii="黑体" w:hAnsi="黑体" w:eastAsia="黑体" w:cs="黑体"/>
                <w:bCs/>
              </w:rPr>
              <w:t>可以选择的增长率评价指标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724" w:type="dxa"/>
            <w:gridSpan w:val="2"/>
            <w:vMerge w:val="continue"/>
            <w:vAlign w:val="center"/>
          </w:tcPr>
          <w:p>
            <w:pPr>
              <w:pStyle w:val="5"/>
              <w:widowControl w:val="0"/>
              <w:adjustRightInd w:val="0"/>
              <w:spacing w:before="0" w:beforeAutospacing="0" w:after="0" w:afterAutospacing="0"/>
              <w:jc w:val="center"/>
              <w:rPr>
                <w:rFonts w:ascii="黑体" w:hAnsi="黑体" w:eastAsia="黑体" w:cs="黑体"/>
                <w:snapToGrid w:val="0"/>
              </w:rPr>
            </w:pPr>
          </w:p>
        </w:tc>
        <w:tc>
          <w:tcPr>
            <w:tcW w:w="997" w:type="dxa"/>
            <w:vAlign w:val="center"/>
          </w:tcPr>
          <w:p>
            <w:pPr>
              <w:pStyle w:val="5"/>
              <w:widowControl w:val="0"/>
              <w:adjustRightInd w:val="0"/>
              <w:spacing w:before="0" w:beforeAutospacing="0" w:after="0" w:afterAutospacing="0"/>
              <w:jc w:val="center"/>
              <w:rPr>
                <w:rFonts w:ascii="黑体" w:hAnsi="黑体" w:eastAsia="黑体" w:cs="黑体"/>
                <w:snapToGrid w:val="0"/>
              </w:rPr>
            </w:pPr>
            <w:r>
              <w:rPr>
                <w:rFonts w:hint="eastAsia" w:ascii="黑体" w:hAnsi="黑体" w:eastAsia="黑体" w:cs="黑体"/>
                <w:bCs/>
              </w:rPr>
              <w:t>增长率指标一</w:t>
            </w:r>
          </w:p>
        </w:tc>
        <w:tc>
          <w:tcPr>
            <w:tcW w:w="981" w:type="dxa"/>
            <w:vAlign w:val="center"/>
          </w:tcPr>
          <w:p>
            <w:pPr>
              <w:pStyle w:val="5"/>
              <w:widowControl w:val="0"/>
              <w:adjustRightInd w:val="0"/>
              <w:spacing w:before="0" w:beforeAutospacing="0" w:after="0" w:afterAutospacing="0"/>
              <w:jc w:val="center"/>
              <w:rPr>
                <w:rFonts w:ascii="黑体" w:hAnsi="黑体" w:eastAsia="黑体" w:cs="黑体"/>
                <w:snapToGrid w:val="0"/>
              </w:rPr>
            </w:pPr>
            <w:r>
              <w:rPr>
                <w:rFonts w:hint="eastAsia" w:ascii="黑体" w:hAnsi="黑体" w:eastAsia="黑体" w:cs="黑体"/>
                <w:bCs/>
              </w:rPr>
              <w:t>增长率指标二</w:t>
            </w:r>
          </w:p>
        </w:tc>
        <w:tc>
          <w:tcPr>
            <w:tcW w:w="1015" w:type="dxa"/>
            <w:vAlign w:val="center"/>
          </w:tcPr>
          <w:p>
            <w:pPr>
              <w:pStyle w:val="5"/>
              <w:widowControl w:val="0"/>
              <w:adjustRightInd w:val="0"/>
              <w:spacing w:before="0" w:beforeAutospacing="0" w:after="0" w:afterAutospacing="0"/>
              <w:jc w:val="center"/>
              <w:rPr>
                <w:rFonts w:ascii="黑体" w:hAnsi="黑体" w:eastAsia="黑体" w:cs="黑体"/>
                <w:snapToGrid w:val="0"/>
              </w:rPr>
            </w:pPr>
            <w:r>
              <w:rPr>
                <w:rFonts w:hint="eastAsia" w:ascii="黑体" w:hAnsi="黑体" w:eastAsia="黑体" w:cs="黑体"/>
                <w:bCs/>
              </w:rPr>
              <w:t>增长率指标三</w:t>
            </w:r>
          </w:p>
        </w:tc>
        <w:tc>
          <w:tcPr>
            <w:tcW w:w="976" w:type="dxa"/>
            <w:vAlign w:val="center"/>
          </w:tcPr>
          <w:p>
            <w:pPr>
              <w:pStyle w:val="5"/>
              <w:widowControl w:val="0"/>
              <w:adjustRightInd w:val="0"/>
              <w:spacing w:before="0" w:beforeAutospacing="0" w:after="0" w:afterAutospacing="0"/>
              <w:jc w:val="center"/>
              <w:rPr>
                <w:rFonts w:ascii="黑体" w:hAnsi="黑体" w:eastAsia="黑体" w:cs="黑体"/>
                <w:snapToGrid w:val="0"/>
              </w:rPr>
            </w:pPr>
            <w:r>
              <w:rPr>
                <w:rFonts w:hint="eastAsia" w:ascii="黑体" w:hAnsi="黑体" w:eastAsia="黑体" w:cs="黑体"/>
                <w:bCs/>
              </w:rPr>
              <w:t>增长率指标四</w:t>
            </w:r>
          </w:p>
        </w:tc>
        <w:tc>
          <w:tcPr>
            <w:tcW w:w="970" w:type="dxa"/>
            <w:vAlign w:val="center"/>
          </w:tcPr>
          <w:p>
            <w:pPr>
              <w:pStyle w:val="5"/>
              <w:widowControl w:val="0"/>
              <w:adjustRightInd w:val="0"/>
              <w:spacing w:before="0" w:beforeAutospacing="0" w:after="0" w:afterAutospacing="0"/>
              <w:jc w:val="center"/>
              <w:rPr>
                <w:rFonts w:ascii="黑体" w:hAnsi="黑体" w:eastAsia="黑体" w:cs="黑体"/>
                <w:snapToGrid w:val="0"/>
              </w:rPr>
            </w:pPr>
            <w:r>
              <w:rPr>
                <w:rFonts w:hint="eastAsia" w:ascii="黑体" w:hAnsi="黑体" w:eastAsia="黑体" w:cs="黑体"/>
                <w:bCs/>
              </w:rPr>
              <w:t>增长率指标五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hint="eastAsia" w:ascii="Times New Roman" w:hAnsi="Times New Roman" w:cs="Times New Roman"/>
                <w:snapToGrid w:val="0"/>
              </w:rPr>
              <w:t>20年（含）至10年（不含）</w:t>
            </w:r>
          </w:p>
        </w:tc>
        <w:tc>
          <w:tcPr>
            <w:tcW w:w="295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ascii="Times New Roman" w:hAnsi="Times New Roman" w:cs="Times New Roman"/>
                <w:snapToGrid w:val="0"/>
              </w:rPr>
              <w:t>1999年1月1日</w:t>
            </w:r>
            <w:r>
              <w:rPr>
                <w:rFonts w:hint="eastAsia" w:ascii="Times New Roman" w:hAnsi="Times New Roman" w:cs="Times New Roman"/>
                <w:snapToGrid w:val="0"/>
              </w:rPr>
              <w:t>（含）</w:t>
            </w:r>
            <w:r>
              <w:rPr>
                <w:rFonts w:ascii="Times New Roman" w:hAnsi="Times New Roman" w:cs="Times New Roman"/>
                <w:snapToGrid w:val="0"/>
              </w:rPr>
              <w:t>至2008年12月31日</w:t>
            </w:r>
            <w:r>
              <w:rPr>
                <w:rFonts w:hint="eastAsia" w:ascii="Times New Roman" w:hAnsi="Times New Roman" w:cs="Times New Roman"/>
                <w:snapToGrid w:val="0"/>
              </w:rPr>
              <w:t>（含）</w:t>
            </w:r>
          </w:p>
        </w:tc>
        <w:tc>
          <w:tcPr>
            <w:tcW w:w="997"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81"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1015"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76"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70"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hint="eastAsia" w:ascii="Times New Roman" w:hAnsi="Times New Roman" w:cs="Times New Roman"/>
                <w:snapToGrid w:val="0"/>
              </w:rPr>
              <w:t>10年（含）至5年（不含）</w:t>
            </w:r>
          </w:p>
        </w:tc>
        <w:tc>
          <w:tcPr>
            <w:tcW w:w="295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ascii="Times New Roman" w:hAnsi="Times New Roman" w:cs="Times New Roman"/>
                <w:snapToGrid w:val="0"/>
              </w:rPr>
              <w:t>2009年1月1日</w:t>
            </w:r>
            <w:r>
              <w:rPr>
                <w:rFonts w:hint="eastAsia" w:ascii="Times New Roman" w:hAnsi="Times New Roman" w:cs="Times New Roman"/>
                <w:snapToGrid w:val="0"/>
              </w:rPr>
              <w:t>（含）</w:t>
            </w:r>
            <w:r>
              <w:rPr>
                <w:rFonts w:ascii="Times New Roman" w:hAnsi="Times New Roman" w:cs="Times New Roman"/>
                <w:snapToGrid w:val="0"/>
              </w:rPr>
              <w:t>至2013年12月31日</w:t>
            </w:r>
            <w:r>
              <w:rPr>
                <w:rFonts w:hint="eastAsia" w:ascii="Times New Roman" w:hAnsi="Times New Roman" w:cs="Times New Roman"/>
                <w:snapToGrid w:val="0"/>
              </w:rPr>
              <w:t>（含）</w:t>
            </w:r>
          </w:p>
        </w:tc>
        <w:tc>
          <w:tcPr>
            <w:tcW w:w="997"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81"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1015"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76"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70"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hint="eastAsia" w:ascii="Times New Roman" w:hAnsi="Times New Roman" w:cs="Times New Roman"/>
                <w:snapToGrid w:val="0"/>
              </w:rPr>
              <w:t>5年（含）至3年（不含）</w:t>
            </w:r>
          </w:p>
        </w:tc>
        <w:tc>
          <w:tcPr>
            <w:tcW w:w="295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ascii="Times New Roman" w:hAnsi="Times New Roman" w:cs="Times New Roman"/>
                <w:snapToGrid w:val="0"/>
              </w:rPr>
              <w:t>2014年1月1日</w:t>
            </w:r>
            <w:r>
              <w:rPr>
                <w:rFonts w:hint="eastAsia" w:ascii="Times New Roman" w:hAnsi="Times New Roman" w:cs="Times New Roman"/>
                <w:snapToGrid w:val="0"/>
              </w:rPr>
              <w:t>（含）</w:t>
            </w:r>
            <w:r>
              <w:rPr>
                <w:rFonts w:ascii="Times New Roman" w:hAnsi="Times New Roman" w:cs="Times New Roman"/>
                <w:snapToGrid w:val="0"/>
              </w:rPr>
              <w:t>至2015年12月31日</w:t>
            </w:r>
            <w:r>
              <w:rPr>
                <w:rFonts w:hint="eastAsia" w:ascii="Times New Roman" w:hAnsi="Times New Roman" w:cs="Times New Roman"/>
                <w:snapToGrid w:val="0"/>
              </w:rPr>
              <w:t>（含）</w:t>
            </w:r>
          </w:p>
        </w:tc>
        <w:tc>
          <w:tcPr>
            <w:tcW w:w="997"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81"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1015"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76"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70"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hint="eastAsia" w:ascii="Times New Roman" w:hAnsi="Times New Roman" w:cs="Times New Roman"/>
                <w:snapToGrid w:val="0"/>
              </w:rPr>
              <w:t>3年（含）至1年（不含）</w:t>
            </w:r>
          </w:p>
        </w:tc>
        <w:tc>
          <w:tcPr>
            <w:tcW w:w="295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ascii="Times New Roman" w:hAnsi="Times New Roman" w:cs="Times New Roman"/>
                <w:snapToGrid w:val="0"/>
              </w:rPr>
              <w:t>2016年1月1日</w:t>
            </w:r>
            <w:r>
              <w:rPr>
                <w:rFonts w:hint="eastAsia" w:ascii="Times New Roman" w:hAnsi="Times New Roman" w:cs="Times New Roman"/>
                <w:snapToGrid w:val="0"/>
              </w:rPr>
              <w:t>（含）</w:t>
            </w:r>
            <w:r>
              <w:rPr>
                <w:rFonts w:ascii="Times New Roman" w:hAnsi="Times New Roman" w:cs="Times New Roman"/>
                <w:snapToGrid w:val="0"/>
              </w:rPr>
              <w:t>至2017年12月31日</w:t>
            </w:r>
            <w:r>
              <w:rPr>
                <w:rFonts w:hint="eastAsia" w:ascii="Times New Roman" w:hAnsi="Times New Roman" w:cs="Times New Roman"/>
                <w:snapToGrid w:val="0"/>
              </w:rPr>
              <w:t>（含）</w:t>
            </w:r>
          </w:p>
        </w:tc>
        <w:tc>
          <w:tcPr>
            <w:tcW w:w="997"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81"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1015"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76"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c>
          <w:tcPr>
            <w:tcW w:w="970"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6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hint="eastAsia" w:ascii="Times New Roman" w:hAnsi="Times New Roman" w:cs="Times New Roman"/>
                <w:snapToGrid w:val="0"/>
              </w:rPr>
              <w:t>1年（含）以下</w:t>
            </w:r>
          </w:p>
        </w:tc>
        <w:tc>
          <w:tcPr>
            <w:tcW w:w="2957" w:type="dxa"/>
            <w:vAlign w:val="center"/>
          </w:tcPr>
          <w:p>
            <w:pPr>
              <w:pStyle w:val="5"/>
              <w:widowControl w:val="0"/>
              <w:adjustRightInd w:val="0"/>
              <w:spacing w:before="0" w:beforeAutospacing="0" w:after="0" w:afterAutospacing="0"/>
              <w:jc w:val="both"/>
              <w:rPr>
                <w:rFonts w:ascii="Times New Roman" w:hAnsi="Times New Roman" w:cs="Times New Roman"/>
                <w:snapToGrid w:val="0"/>
              </w:rPr>
            </w:pPr>
            <w:r>
              <w:rPr>
                <w:rFonts w:ascii="Times New Roman" w:hAnsi="Times New Roman" w:cs="Times New Roman"/>
                <w:snapToGrid w:val="0"/>
              </w:rPr>
              <w:t>2018年1月1日</w:t>
            </w:r>
            <w:r>
              <w:rPr>
                <w:rFonts w:hint="eastAsia" w:ascii="Times New Roman" w:hAnsi="Times New Roman" w:cs="Times New Roman"/>
                <w:snapToGrid w:val="0"/>
              </w:rPr>
              <w:t>（含）</w:t>
            </w:r>
            <w:r>
              <w:rPr>
                <w:rFonts w:ascii="Times New Roman" w:hAnsi="Times New Roman" w:cs="Times New Roman"/>
                <w:snapToGrid w:val="0"/>
              </w:rPr>
              <w:t>后</w:t>
            </w:r>
          </w:p>
        </w:tc>
        <w:tc>
          <w:tcPr>
            <w:tcW w:w="997"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81"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1015"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76"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p>
        </w:tc>
        <w:tc>
          <w:tcPr>
            <w:tcW w:w="970" w:type="dxa"/>
            <w:vAlign w:val="center"/>
          </w:tcPr>
          <w:p>
            <w:pPr>
              <w:pStyle w:val="5"/>
              <w:widowControl w:val="0"/>
              <w:adjustRightInd w:val="0"/>
              <w:spacing w:before="0" w:beforeAutospacing="0" w:after="0" w:afterAutospacing="0"/>
              <w:jc w:val="center"/>
              <w:rPr>
                <w:rFonts w:ascii="Times New Roman" w:hAnsi="Times New Roman" w:cs="Times New Roman"/>
                <w:snapToGrid w:val="0"/>
              </w:rPr>
            </w:pPr>
            <w:r>
              <w:rPr>
                <w:rFonts w:ascii="Times New Roman" w:hAnsi="Times New Roman" w:cs="Times New Roman"/>
                <w:snapToGrid w:val="0"/>
              </w:rPr>
              <w:t>√</w:t>
            </w:r>
          </w:p>
        </w:tc>
      </w:tr>
    </w:tbl>
    <w:p>
      <w:pPr>
        <w:pStyle w:val="5"/>
        <w:widowControl w:val="0"/>
        <w:adjustRightInd w:val="0"/>
        <w:spacing w:before="0" w:beforeAutospacing="0" w:after="0" w:afterAutospacing="0"/>
        <w:ind w:firstLine="643" w:firstLineChars="200"/>
        <w:rPr>
          <w:rFonts w:ascii="仿宋_GB2312" w:hAnsi="仿宋_GB2312" w:eastAsia="仿宋_GB2312" w:cs="仿宋_GB2312"/>
          <w:b/>
          <w:bCs/>
          <w:snapToGrid w:val="0"/>
          <w:sz w:val="32"/>
          <w:szCs w:val="32"/>
        </w:rPr>
      </w:pPr>
      <w:r>
        <w:rPr>
          <w:rFonts w:hint="eastAsia" w:ascii="仿宋_GB2312" w:hAnsi="仿宋_GB2312" w:eastAsia="仿宋_GB2312" w:cs="仿宋_GB2312"/>
          <w:b/>
          <w:bCs/>
          <w:snapToGrid w:val="0"/>
          <w:sz w:val="32"/>
          <w:szCs w:val="32"/>
        </w:rPr>
        <w:t>2.平均科学研究与试验发展投入强度</w:t>
      </w:r>
    </w:p>
    <w:p>
      <w:pPr>
        <w:pStyle w:val="5"/>
        <w:widowControl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《评价办法》所指的平均科学研究与试验发展投入强度指企业参与申报评价当年（即</w:t>
      </w:r>
      <w:r>
        <w:rPr>
          <w:rFonts w:ascii="Times New Roman" w:hAnsi="Times New Roman" w:eastAsia="仿宋_GB2312" w:cs="Times New Roman"/>
          <w:snapToGrid w:val="0"/>
          <w:sz w:val="32"/>
          <w:szCs w:val="32"/>
        </w:rPr>
        <w:t>n</w:t>
      </w:r>
      <w:r>
        <w:rPr>
          <w:rFonts w:hint="eastAsia" w:ascii="Times New Roman" w:hAnsi="Times New Roman" w:eastAsia="仿宋_GB2312" w:cs="Times New Roman"/>
          <w:snapToGrid w:val="0"/>
          <w:sz w:val="32"/>
          <w:szCs w:val="32"/>
        </w:rPr>
        <w:t>年）之前的四个年度（注册时间不足四年的，注册年至n年）的研发经费之和占营业收入之和的百分比。计算公式为：</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平均研发投入强度</w:t>
      </w:r>
      <w:r>
        <w:rPr>
          <w:rFonts w:ascii="Times New Roman" w:hAnsi="Times New Roman" w:eastAsia="仿宋_GB2312" w:cs="Times New Roman"/>
          <w:snapToGrid w:val="0"/>
          <w:sz w:val="32"/>
          <w:szCs w:val="32"/>
        </w:rPr>
        <w:t xml:space="preserve">= </w:t>
      </w:r>
      <m:oMath>
        <m:f>
          <m:fPr>
            <m:ctrlPr>
              <w:rPr>
                <w:rFonts w:ascii="Cambria Math" w:hAnsi="Cambria Math" w:eastAsia="仿宋_GB2312"/>
                <w:sz w:val="32"/>
                <w:szCs w:val="32"/>
              </w:rPr>
            </m:ctrlPr>
          </m:fPr>
          <m:num>
            <m:r>
              <m:rPr>
                <m:sty m:val="p"/>
              </m:rPr>
              <w:rPr>
                <w:rFonts w:ascii="Cambria Math" w:hAnsi="Cambria Math" w:eastAsia="仿宋_GB2312"/>
                <w:sz w:val="32"/>
                <w:szCs w:val="32"/>
              </w:rPr>
              <m:t>n</m:t>
            </m:r>
            <m:r>
              <m:rPr>
                <m:sty m:val="p"/>
              </m:rPr>
              <w:rPr>
                <w:rFonts w:hint="eastAsia" w:ascii="Cambria Math" w:hAnsi="Cambria Math" w:eastAsia="仿宋_GB2312"/>
                <w:sz w:val="32"/>
                <w:szCs w:val="32"/>
              </w:rPr>
              <m:t>年之前的四个年度的企业研发费用之和</m:t>
            </m:r>
            <m:ctrlPr>
              <w:rPr>
                <w:rFonts w:ascii="Cambria Math" w:hAnsi="Cambria Math" w:eastAsia="仿宋_GB2312"/>
                <w:sz w:val="32"/>
                <w:szCs w:val="32"/>
              </w:rPr>
            </m:ctrlPr>
          </m:num>
          <m:den>
            <m:r>
              <m:rPr>
                <m:sty m:val="p"/>
              </m:rPr>
              <w:rPr>
                <w:rFonts w:ascii="Cambria Math" w:hAnsi="Cambria Math" w:eastAsia="仿宋_GB2312"/>
                <w:sz w:val="32"/>
                <w:szCs w:val="32"/>
              </w:rPr>
              <m:t>n</m:t>
            </m:r>
            <m:r>
              <m:rPr>
                <m:sty m:val="p"/>
              </m:rPr>
              <w:rPr>
                <w:rFonts w:hint="eastAsia" w:ascii="Cambria Math" w:hAnsi="Cambria Math" w:eastAsia="仿宋_GB2312"/>
                <w:sz w:val="32"/>
                <w:szCs w:val="32"/>
              </w:rPr>
              <m:t>年之前的四个年度的企业营业收入之和</m:t>
            </m:r>
            <m:ctrlPr>
              <w:rPr>
                <w:rFonts w:ascii="Cambria Math" w:hAnsi="Cambria Math" w:eastAsia="仿宋_GB2312"/>
                <w:sz w:val="32"/>
                <w:szCs w:val="32"/>
              </w:rPr>
            </m:ctrlPr>
          </m:den>
        </m:f>
      </m:oMath>
      <w:r>
        <w:rPr>
          <w:rFonts w:ascii="Times New Roman" w:hAnsi="Times New Roman" w:eastAsia="仿宋_GB2312" w:cs="Times New Roman"/>
          <w:snapToGrid w:val="0"/>
          <w:sz w:val="32"/>
          <w:szCs w:val="32"/>
        </w:rPr>
        <w:t>×100%</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3" w:firstLineChars="200"/>
        <w:jc w:val="both"/>
        <w:rPr>
          <w:rFonts w:ascii="仿宋_GB2312" w:hAnsi="仿宋_GB2312" w:eastAsia="仿宋_GB2312" w:cs="仿宋_GB2312"/>
          <w:b/>
          <w:bCs/>
          <w:snapToGrid w:val="0"/>
          <w:sz w:val="32"/>
          <w:szCs w:val="32"/>
        </w:rPr>
      </w:pPr>
      <w:r>
        <w:rPr>
          <w:rFonts w:hint="eastAsia" w:ascii="仿宋_GB2312" w:hAnsi="仿宋_GB2312" w:eastAsia="仿宋_GB2312" w:cs="仿宋_GB2312"/>
          <w:b/>
          <w:bCs/>
          <w:snapToGrid w:val="0"/>
          <w:sz w:val="32"/>
          <w:szCs w:val="32"/>
        </w:rPr>
        <w:t>3、关于企业职工总数</w:t>
      </w:r>
    </w:p>
    <w:p>
      <w:pPr>
        <w:pStyle w:val="5"/>
        <w:widowControl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《评价办法》所指的企业职工总数以企业缴纳社会保险的人数为准。企业职工总数均按照全年季平均数计算，季平均数</w:t>
      </w: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rPr>
        <w:t>（季初数</w:t>
      </w: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rPr>
        <w:t>季末数）÷</w:t>
      </w:r>
      <w:r>
        <w:rPr>
          <w:rFonts w:ascii="Times New Roman" w:hAnsi="Times New Roman" w:eastAsia="仿宋_GB2312" w:cs="Times New Roman"/>
          <w:snapToGrid w:val="0"/>
          <w:sz w:val="32"/>
          <w:szCs w:val="32"/>
        </w:rPr>
        <w:t>2</w:t>
      </w:r>
      <w:r>
        <w:rPr>
          <w:rFonts w:hint="eastAsia" w:ascii="Times New Roman" w:hAnsi="Times New Roman" w:eastAsia="仿宋_GB2312" w:cs="Times New Roman"/>
          <w:snapToGrid w:val="0"/>
          <w:sz w:val="32"/>
          <w:szCs w:val="32"/>
        </w:rPr>
        <w:t>；全年季平均数</w:t>
      </w:r>
      <w:r>
        <w:rPr>
          <w:rFonts w:ascii="Times New Roman" w:hAnsi="Times New Roman" w:eastAsia="仿宋_GB2312" w:cs="Times New Roman"/>
          <w:snapToGrid w:val="0"/>
          <w:sz w:val="32"/>
          <w:szCs w:val="32"/>
        </w:rPr>
        <w:t>=</w:t>
      </w:r>
      <w:r>
        <w:rPr>
          <w:rFonts w:hint="eastAsia" w:ascii="Times New Roman" w:hAnsi="Times New Roman" w:eastAsia="仿宋_GB2312" w:cs="Times New Roman"/>
          <w:snapToGrid w:val="0"/>
          <w:sz w:val="32"/>
          <w:szCs w:val="32"/>
        </w:rPr>
        <w:t>全年各季平均数之和÷</w:t>
      </w:r>
      <w:r>
        <w:rPr>
          <w:rFonts w:ascii="Times New Roman" w:hAnsi="Times New Roman" w:eastAsia="仿宋_GB2312" w:cs="Times New Roman"/>
          <w:snapToGrid w:val="0"/>
          <w:sz w:val="32"/>
          <w:szCs w:val="32"/>
        </w:rPr>
        <w:t>4</w:t>
      </w:r>
      <w:r>
        <w:rPr>
          <w:rFonts w:hint="eastAsia" w:ascii="Times New Roman" w:hAnsi="Times New Roman" w:eastAsia="仿宋_GB2312" w:cs="Times New Roman"/>
          <w:snapToGrid w:val="0"/>
          <w:sz w:val="32"/>
          <w:szCs w:val="32"/>
        </w:rPr>
        <w:t>。职工社会保险缴费证明样式如下（原件扫描上传或复印件盖企业公章扫描上传））：</w:t>
      </w:r>
    </w:p>
    <w:p>
      <w:pPr>
        <w:pStyle w:val="5"/>
        <w:widowControl w:val="0"/>
        <w:spacing w:before="0" w:beforeAutospacing="0" w:after="0" w:afterAutospacing="0"/>
        <w:jc w:val="center"/>
      </w:pPr>
      <w:r>
        <w:drawing>
          <wp:inline distT="0" distB="0" distL="0" distR="0">
            <wp:extent cx="4598035" cy="2746375"/>
            <wp:effectExtent l="0" t="0" r="12065" b="15875"/>
            <wp:docPr id="1037" name="Picture 2"/>
            <wp:cNvGraphicFramePr/>
            <a:graphic xmlns:a="http://schemas.openxmlformats.org/drawingml/2006/main">
              <a:graphicData uri="http://schemas.openxmlformats.org/drawingml/2006/picture">
                <pic:pic xmlns:pic="http://schemas.openxmlformats.org/drawingml/2006/picture">
                  <pic:nvPicPr>
                    <pic:cNvPr id="1037" name="Picture 2"/>
                    <pic:cNvPicPr/>
                  </pic:nvPicPr>
                  <pic:blipFill>
                    <a:blip r:embed="rId16" cstate="print"/>
                    <a:srcRect l="5735" r="4174" b="9174"/>
                    <a:stretch>
                      <a:fillRect/>
                    </a:stretch>
                  </pic:blipFill>
                  <pic:spPr>
                    <a:xfrm>
                      <a:off x="0" y="0"/>
                      <a:ext cx="4598035" cy="2746375"/>
                    </a:xfrm>
                    <a:prstGeom prst="rect">
                      <a:avLst/>
                    </a:prstGeom>
                  </pic:spPr>
                </pic:pic>
              </a:graphicData>
            </a:graphic>
          </wp:inline>
        </w:drawing>
      </w:r>
    </w:p>
    <w:p>
      <w:pPr>
        <w:pStyle w:val="5"/>
        <w:widowControl w:val="0"/>
        <w:spacing w:before="0" w:beforeAutospacing="0" w:after="0" w:afterAutospacing="0"/>
        <w:jc w:val="center"/>
      </w:pPr>
      <w:r>
        <w:rPr>
          <w:rFonts w:hint="eastAsia" w:ascii="Times New Roman" w:hAnsi="Times New Roman" w:eastAsia="仿宋_GB2312" w:cs="Times New Roman"/>
          <w:snapToGrid w:val="0"/>
          <w:sz w:val="32"/>
          <w:szCs w:val="32"/>
        </w:rPr>
        <w:t>职工社会保险缴费证明样式</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八、知识产权</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《评价办法》所指的知识产权须在中国境内授权或审批审定，并在中国法律规定的有效保护期内。知识产权权属人应为申报评价企业。</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知识产权采用分类评价，其中：发明专利（不含国防专利）、集成电路布图设计专有权、植物新品种权、主要农作物品种、国家新药、国家中药保护品种按Ⅰ类知识产权评价；实用新型专利、外观设计专利、软件著作权按Ⅱ类知识产权评价。专利的有效性以企业进行评价前获得授权证书或授权通知书并能提供缴费收据为准。此外，国家级水产新品种、Ⅲ类医疗器械注册、有效药物临床试验批件参照Ⅰ类知识产权评价。</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发明专利、实用新型专利、外观设计专利、集成电路布图设计专有权可在国家知识产权局网站（网址：</w:t>
      </w:r>
      <w:r>
        <w:rPr>
          <w:rFonts w:ascii="Times New Roman" w:hAnsi="Times New Roman" w:eastAsia="仿宋_GB2312" w:cs="Times New Roman"/>
          <w:snapToGrid w:val="0"/>
          <w:sz w:val="32"/>
          <w:szCs w:val="32"/>
        </w:rPr>
        <w:t>www.sipo.gov.cn</w:t>
      </w:r>
      <w:r>
        <w:rPr>
          <w:rFonts w:hint="eastAsia" w:ascii="Times New Roman" w:hAnsi="Times New Roman" w:eastAsia="仿宋_GB2312" w:cs="Times New Roman"/>
          <w:snapToGrid w:val="0"/>
          <w:sz w:val="32"/>
          <w:szCs w:val="32"/>
        </w:rPr>
        <w:t>）查询专利标记和专利号。</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软件著作权可在国家版权局中国版权保护中心网站（网址：</w:t>
      </w:r>
      <w:r>
        <w:rPr>
          <w:rFonts w:ascii="Times New Roman" w:hAnsi="Times New Roman" w:eastAsia="仿宋_GB2312" w:cs="Times New Roman"/>
          <w:snapToGrid w:val="0"/>
          <w:sz w:val="32"/>
          <w:szCs w:val="32"/>
        </w:rPr>
        <w:t>www.ccopyright.com.cn</w:t>
      </w:r>
      <w:r>
        <w:rPr>
          <w:rFonts w:hint="eastAsia" w:ascii="Times New Roman" w:hAnsi="Times New Roman" w:eastAsia="仿宋_GB2312" w:cs="Times New Roman"/>
          <w:snapToGrid w:val="0"/>
          <w:sz w:val="32"/>
          <w:szCs w:val="32"/>
        </w:rPr>
        <w:t>）查询软件著作权标记（亦称版权标记）。</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农业植物新品种权可从国家农业农村部种子管理局网站（网址：</w:t>
      </w:r>
      <w:r>
        <w:rPr>
          <w:rFonts w:ascii="Times New Roman" w:hAnsi="Times New Roman" w:eastAsia="仿宋_GB2312" w:cs="Times New Roman"/>
          <w:snapToGrid w:val="0"/>
          <w:sz w:val="32"/>
          <w:szCs w:val="32"/>
        </w:rPr>
        <w:t>www.zzj.moa.gov.cn</w:t>
      </w:r>
      <w:r>
        <w:rPr>
          <w:rFonts w:hint="eastAsia" w:ascii="Times New Roman" w:hAnsi="Times New Roman" w:eastAsia="仿宋_GB2312" w:cs="Times New Roman"/>
          <w:snapToGrid w:val="0"/>
          <w:sz w:val="32"/>
          <w:szCs w:val="32"/>
        </w:rPr>
        <w:t>）查询，企业应注明授予植物新品种权的公告文件名称和公告日期；林业植物新品种权可从国家林业和草原局植物新品种保护办公室网站（网址：</w:t>
      </w:r>
      <w:r>
        <w:rPr>
          <w:rFonts w:ascii="Times New Roman" w:hAnsi="Times New Roman" w:eastAsia="仿宋_GB2312" w:cs="Times New Roman"/>
          <w:snapToGrid w:val="0"/>
          <w:sz w:val="32"/>
          <w:szCs w:val="32"/>
        </w:rPr>
        <w:t>www.cnpvp.net</w:t>
      </w:r>
      <w:r>
        <w:rPr>
          <w:rFonts w:hint="eastAsia" w:ascii="Times New Roman" w:hAnsi="Times New Roman" w:eastAsia="仿宋_GB2312" w:cs="Times New Roman"/>
          <w:snapToGrid w:val="0"/>
          <w:sz w:val="32"/>
          <w:szCs w:val="32"/>
        </w:rPr>
        <w:t>）查询。</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主要农作物品种指农业农村部国家农作物品种审定委员会或省级农作物品种审定委员会审定公告的农作物品种，可以从中国种业数据大平台（网址：</w:t>
      </w:r>
      <w:r>
        <w:rPr>
          <w:rFonts w:ascii="Times New Roman" w:hAnsi="Times New Roman" w:eastAsia="仿宋_GB2312" w:cs="Times New Roman"/>
          <w:snapToGrid w:val="0"/>
          <w:sz w:val="32"/>
          <w:szCs w:val="32"/>
        </w:rPr>
        <w:t>202.127.42.145</w:t>
      </w:r>
      <w:r>
        <w:rPr>
          <w:rFonts w:hint="eastAsia" w:ascii="Times New Roman" w:hAnsi="Times New Roman" w:eastAsia="仿宋_GB2312" w:cs="Times New Roman"/>
          <w:snapToGrid w:val="0"/>
          <w:sz w:val="32"/>
          <w:szCs w:val="32"/>
        </w:rPr>
        <w:t>）查询（查询结果须是未撤销的主要农作物品种，即未被农业农村部停止推广的农作物品种）。</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国家中药保护品种指国家药品监督管理局审批的中药一级、二级保护品种，可以从国家药品监督管理局网站（网址：</w:t>
      </w:r>
      <w:r>
        <w:rPr>
          <w:rFonts w:ascii="Times New Roman" w:hAnsi="Times New Roman" w:eastAsia="仿宋_GB2312" w:cs="Times New Roman"/>
          <w:snapToGrid w:val="0"/>
          <w:sz w:val="32"/>
          <w:szCs w:val="32"/>
        </w:rPr>
        <w:t>app1.sfda.gov.cn</w:t>
      </w:r>
      <w:r>
        <w:rPr>
          <w:rFonts w:hint="eastAsia" w:ascii="Times New Roman" w:hAnsi="Times New Roman" w:eastAsia="仿宋_GB2312" w:cs="Times New Roman"/>
          <w:snapToGrid w:val="0"/>
          <w:sz w:val="32"/>
          <w:szCs w:val="32"/>
        </w:rPr>
        <w:t>）查询。</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国家新药须提供国家食品药品监督管理局签发的新药证书。</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国家级水产新品种指农业农村部全国水产原种和良种审定委员会审定的水产新品种，可从国家农业农村部渔业渔政管理局网站（网址：</w:t>
      </w:r>
      <w:r>
        <w:rPr>
          <w:rFonts w:ascii="Times New Roman" w:hAnsi="Times New Roman" w:eastAsia="仿宋_GB2312" w:cs="Times New Roman"/>
          <w:snapToGrid w:val="0"/>
          <w:sz w:val="32"/>
          <w:szCs w:val="32"/>
        </w:rPr>
        <w:t>www.yyj.moa.gov.cn</w:t>
      </w:r>
      <w:r>
        <w:rPr>
          <w:rFonts w:hint="eastAsia" w:ascii="Times New Roman" w:hAnsi="Times New Roman" w:eastAsia="仿宋_GB2312" w:cs="Times New Roman"/>
          <w:snapToGrid w:val="0"/>
          <w:sz w:val="32"/>
          <w:szCs w:val="32"/>
        </w:rPr>
        <w:t>）查询，企业应注明水产新品种通过审定的公告文件名称和公告日期。</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Ⅲ类医疗器械注册指通过国家药品监督管理局Ⅲ类医疗器械注册并签发证书，可以从国家药品监督管理局网站（网址：</w:t>
      </w:r>
      <w:r>
        <w:rPr>
          <w:rFonts w:ascii="Times New Roman" w:hAnsi="Times New Roman" w:eastAsia="仿宋_GB2312" w:cs="Times New Roman"/>
          <w:snapToGrid w:val="0"/>
          <w:sz w:val="32"/>
          <w:szCs w:val="32"/>
        </w:rPr>
        <w:t>app1.sfda.gov.cn</w:t>
      </w:r>
      <w:r>
        <w:rPr>
          <w:rFonts w:hint="eastAsia" w:ascii="Times New Roman" w:hAnsi="Times New Roman" w:eastAsia="仿宋_GB2312" w:cs="Times New Roman"/>
          <w:snapToGrid w:val="0"/>
          <w:sz w:val="32"/>
          <w:szCs w:val="32"/>
        </w:rPr>
        <w:t>）查询（医疗器械注册证编号以“</w:t>
      </w:r>
      <w:r>
        <w:rPr>
          <w:rFonts w:ascii="Times New Roman" w:hAnsi="Times New Roman" w:eastAsia="仿宋_GB2312" w:cs="Times New Roman"/>
          <w:snapToGrid w:val="0"/>
          <w:sz w:val="32"/>
          <w:szCs w:val="32"/>
        </w:rPr>
        <w:t>3</w:t>
      </w:r>
      <w:r>
        <w:rPr>
          <w:rFonts w:hint="eastAsia" w:ascii="Times New Roman" w:hAnsi="Times New Roman" w:eastAsia="仿宋_GB2312" w:cs="Times New Roman"/>
          <w:snapToGrid w:val="0"/>
          <w:sz w:val="32"/>
          <w:szCs w:val="32"/>
        </w:rPr>
        <w:t>”开头的为Ⅲ类医疗器械）。</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有效药物临床试验批件需提供国家药品监督管理局签发的有效药物临床批件，必要时需提供临床试验开展证明材料。</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需要扫描上传集成电路布图设计专有权、植物新品种权、主要农作物品种、国家级水产新品种、国家新药、国家中药保护品种、Ⅲ类医疗器械注册、有效药物临床试验批件等证书或文件（原件扫描上传或复印件盖企业公章扫描上传）。</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2714625" cy="3677285"/>
            <wp:effectExtent l="0" t="0" r="9525" b="17780"/>
            <wp:docPr id="1038" name="Picture 2"/>
            <wp:cNvGraphicFramePr/>
            <a:graphic xmlns:a="http://schemas.openxmlformats.org/drawingml/2006/main">
              <a:graphicData uri="http://schemas.openxmlformats.org/drawingml/2006/picture">
                <pic:pic xmlns:pic="http://schemas.openxmlformats.org/drawingml/2006/picture">
                  <pic:nvPicPr>
                    <pic:cNvPr id="1038" name="Picture 2"/>
                    <pic:cNvPicPr/>
                  </pic:nvPicPr>
                  <pic:blipFill>
                    <a:blip r:embed="rId17" cstate="print"/>
                    <a:srcRect/>
                    <a:stretch>
                      <a:fillRect/>
                    </a:stretch>
                  </pic:blipFill>
                  <pic:spPr>
                    <a:xfrm>
                      <a:off x="0" y="0"/>
                      <a:ext cx="2714625" cy="3677919"/>
                    </a:xfrm>
                    <a:prstGeom prst="rect">
                      <a:avLst/>
                    </a:prstGeom>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发明专利证书样式</w:t>
      </w:r>
    </w:p>
    <w:p>
      <w:pPr>
        <w:pStyle w:val="5"/>
        <w:widowControl w:val="0"/>
        <w:adjustRightInd w:val="0"/>
        <w:spacing w:before="0" w:beforeAutospacing="0" w:after="0" w:afterAutospacing="0"/>
        <w:jc w:val="both"/>
        <w:rPr>
          <w:rFonts w:ascii="Times New Roman" w:hAnsi="Times New Roman" w:eastAsia="仿宋_GB2312" w:cs="Times New Roman"/>
          <w:snapToGrid w:val="0"/>
          <w:sz w:val="32"/>
          <w:szCs w:val="32"/>
        </w:rPr>
      </w:pP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drawing>
          <wp:inline distT="0" distB="0" distL="0" distR="0">
            <wp:extent cx="4977130" cy="3424555"/>
            <wp:effectExtent l="0" t="0" r="13970" b="4445"/>
            <wp:docPr id="1039" name="图片 2"/>
            <wp:cNvGraphicFramePr/>
            <a:graphic xmlns:a="http://schemas.openxmlformats.org/drawingml/2006/main">
              <a:graphicData uri="http://schemas.openxmlformats.org/drawingml/2006/picture">
                <pic:pic xmlns:pic="http://schemas.openxmlformats.org/drawingml/2006/picture">
                  <pic:nvPicPr>
                    <pic:cNvPr id="1039" name="图片 2"/>
                    <pic:cNvPicPr/>
                  </pic:nvPicPr>
                  <pic:blipFill>
                    <a:blip r:embed="rId18" cstate="print"/>
                    <a:srcRect/>
                    <a:stretch>
                      <a:fillRect/>
                    </a:stretch>
                  </pic:blipFill>
                  <pic:spPr>
                    <a:xfrm>
                      <a:off x="0" y="0"/>
                      <a:ext cx="4977130" cy="3424555"/>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集成电路布图设计专有权证书</w:t>
      </w:r>
      <w:r>
        <w:rPr>
          <w:rFonts w:hint="eastAsia" w:ascii="Times New Roman" w:hAnsi="Times New Roman" w:eastAsia="仿宋_GB2312" w:cs="Times New Roman"/>
          <w:bCs/>
          <w:snapToGrid w:val="0"/>
          <w:sz w:val="32"/>
          <w:szCs w:val="32"/>
        </w:rPr>
        <w:t>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4735830" cy="3079750"/>
            <wp:effectExtent l="0" t="0" r="7620" b="6350"/>
            <wp:docPr id="1040" name="图片 3"/>
            <wp:cNvGraphicFramePr/>
            <a:graphic xmlns:a="http://schemas.openxmlformats.org/drawingml/2006/main">
              <a:graphicData uri="http://schemas.openxmlformats.org/drawingml/2006/picture">
                <pic:pic xmlns:pic="http://schemas.openxmlformats.org/drawingml/2006/picture">
                  <pic:nvPicPr>
                    <pic:cNvPr id="1040" name="图片 3"/>
                    <pic:cNvPicPr/>
                  </pic:nvPicPr>
                  <pic:blipFill>
                    <a:blip r:embed="rId19" cstate="print"/>
                    <a:srcRect/>
                    <a:stretch>
                      <a:fillRect/>
                    </a:stretch>
                  </pic:blipFill>
                  <pic:spPr>
                    <a:xfrm>
                      <a:off x="0" y="0"/>
                      <a:ext cx="4735830" cy="307975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bCs/>
          <w:snapToGrid w:val="0"/>
          <w:sz w:val="32"/>
          <w:szCs w:val="32"/>
        </w:rPr>
      </w:pPr>
      <w:r>
        <w:rPr>
          <w:rFonts w:hint="eastAsia" w:ascii="Times New Roman" w:hAnsi="Times New Roman" w:eastAsia="仿宋_GB2312" w:cs="Times New Roman"/>
          <w:snapToGrid w:val="0"/>
          <w:sz w:val="32"/>
          <w:szCs w:val="32"/>
        </w:rPr>
        <w:t>植物新品种权证书</w:t>
      </w:r>
      <w:r>
        <w:rPr>
          <w:rFonts w:hint="eastAsia" w:ascii="Times New Roman" w:hAnsi="Times New Roman" w:eastAsia="仿宋_GB2312" w:cs="Times New Roman"/>
          <w:bCs/>
          <w:snapToGrid w:val="0"/>
          <w:sz w:val="32"/>
          <w:szCs w:val="32"/>
        </w:rPr>
        <w:t>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bCs/>
          <w:snapToGrid w:val="0"/>
          <w:sz w:val="32"/>
          <w:szCs w:val="32"/>
        </w:rPr>
        <w:drawing>
          <wp:inline distT="0" distB="0" distL="0" distR="0">
            <wp:extent cx="2389505" cy="3347085"/>
            <wp:effectExtent l="0" t="0" r="10795" b="5715"/>
            <wp:docPr id="1041" name="图片 5"/>
            <wp:cNvGraphicFramePr/>
            <a:graphic xmlns:a="http://schemas.openxmlformats.org/drawingml/2006/main">
              <a:graphicData uri="http://schemas.openxmlformats.org/drawingml/2006/picture">
                <pic:pic xmlns:pic="http://schemas.openxmlformats.org/drawingml/2006/picture">
                  <pic:nvPicPr>
                    <pic:cNvPr id="1041" name="图片 5"/>
                    <pic:cNvPicPr/>
                  </pic:nvPicPr>
                  <pic:blipFill>
                    <a:blip r:embed="rId20" cstate="print"/>
                    <a:srcRect/>
                    <a:stretch>
                      <a:fillRect/>
                    </a:stretch>
                  </pic:blipFill>
                  <pic:spPr>
                    <a:xfrm>
                      <a:off x="0" y="0"/>
                      <a:ext cx="2389505" cy="3347085"/>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国家新药证书</w:t>
      </w:r>
      <w:r>
        <w:rPr>
          <w:rFonts w:hint="eastAsia" w:ascii="Times New Roman" w:hAnsi="Times New Roman" w:eastAsia="仿宋_GB2312" w:cs="Times New Roman"/>
          <w:bCs/>
          <w:snapToGrid w:val="0"/>
          <w:sz w:val="32"/>
          <w:szCs w:val="32"/>
        </w:rPr>
        <w:t>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4416425" cy="3070860"/>
            <wp:effectExtent l="0" t="0" r="3175" b="15240"/>
            <wp:docPr id="1042" name="图片 6"/>
            <wp:cNvGraphicFramePr/>
            <a:graphic xmlns:a="http://schemas.openxmlformats.org/drawingml/2006/main">
              <a:graphicData uri="http://schemas.openxmlformats.org/drawingml/2006/picture">
                <pic:pic xmlns:pic="http://schemas.openxmlformats.org/drawingml/2006/picture">
                  <pic:nvPicPr>
                    <pic:cNvPr id="1042" name="图片 6"/>
                    <pic:cNvPicPr/>
                  </pic:nvPicPr>
                  <pic:blipFill>
                    <a:blip r:embed="rId21" cstate="print"/>
                    <a:srcRect/>
                    <a:stretch>
                      <a:fillRect/>
                    </a:stretch>
                  </pic:blipFill>
                  <pic:spPr>
                    <a:xfrm>
                      <a:off x="0" y="0"/>
                      <a:ext cx="4416425" cy="307086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国家中药保护品种证书</w:t>
      </w:r>
      <w:r>
        <w:rPr>
          <w:rFonts w:hint="eastAsia" w:ascii="Times New Roman" w:hAnsi="Times New Roman" w:eastAsia="仿宋_GB2312" w:cs="Times New Roman"/>
          <w:bCs/>
          <w:snapToGrid w:val="0"/>
          <w:sz w:val="32"/>
          <w:szCs w:val="32"/>
        </w:rPr>
        <w:t>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4822190" cy="3467735"/>
            <wp:effectExtent l="0" t="0" r="16510" b="18415"/>
            <wp:docPr id="1043" name="图片 4"/>
            <wp:cNvGraphicFramePr/>
            <a:graphic xmlns:a="http://schemas.openxmlformats.org/drawingml/2006/main">
              <a:graphicData uri="http://schemas.openxmlformats.org/drawingml/2006/picture">
                <pic:pic xmlns:pic="http://schemas.openxmlformats.org/drawingml/2006/picture">
                  <pic:nvPicPr>
                    <pic:cNvPr id="1043" name="图片 4"/>
                    <pic:cNvPicPr/>
                  </pic:nvPicPr>
                  <pic:blipFill>
                    <a:blip r:embed="rId22" cstate="print"/>
                    <a:srcRect/>
                    <a:stretch>
                      <a:fillRect/>
                    </a:stretch>
                  </pic:blipFill>
                  <pic:spPr>
                    <a:xfrm>
                      <a:off x="0" y="0"/>
                      <a:ext cx="4822190" cy="3467735"/>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国家级水产新品种证书</w:t>
      </w:r>
      <w:r>
        <w:rPr>
          <w:rFonts w:hint="eastAsia" w:ascii="Times New Roman" w:hAnsi="Times New Roman" w:eastAsia="仿宋_GB2312" w:cs="Times New Roman"/>
          <w:bCs/>
          <w:snapToGrid w:val="0"/>
          <w:sz w:val="32"/>
          <w:szCs w:val="32"/>
        </w:rPr>
        <w:t>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2425700" cy="3242945"/>
            <wp:effectExtent l="19050" t="0" r="0" b="0"/>
            <wp:docPr id="1044" name="图片 7"/>
            <wp:cNvGraphicFramePr/>
            <a:graphic xmlns:a="http://schemas.openxmlformats.org/drawingml/2006/main">
              <a:graphicData uri="http://schemas.openxmlformats.org/drawingml/2006/picture">
                <pic:pic xmlns:pic="http://schemas.openxmlformats.org/drawingml/2006/picture">
                  <pic:nvPicPr>
                    <pic:cNvPr id="1044" name="图片 7"/>
                    <pic:cNvPicPr/>
                  </pic:nvPicPr>
                  <pic:blipFill>
                    <a:blip r:embed="rId23" cstate="print"/>
                    <a:srcRect/>
                    <a:stretch>
                      <a:fillRect/>
                    </a:stretch>
                  </pic:blipFill>
                  <pic:spPr>
                    <a:xfrm>
                      <a:off x="0" y="0"/>
                      <a:ext cx="2425700" cy="3242945"/>
                    </a:xfrm>
                    <a:prstGeom prst="rect">
                      <a:avLst/>
                    </a:prstGeom>
                    <a:ln>
                      <a:noFill/>
                    </a:ln>
                  </pic:spPr>
                </pic:pic>
              </a:graphicData>
            </a:graphic>
          </wp:inline>
        </w:drawing>
      </w:r>
      <w:r>
        <w:rPr>
          <w:rFonts w:hint="eastAsia" w:ascii="Times New Roman" w:hAnsi="Times New Roman" w:eastAsia="仿宋_GB2312" w:cs="Times New Roman"/>
          <w:snapToGrid w:val="0"/>
          <w:sz w:val="32"/>
          <w:szCs w:val="32"/>
        </w:rPr>
        <w:drawing>
          <wp:inline distT="0" distB="0" distL="0" distR="0">
            <wp:extent cx="2365375" cy="3148330"/>
            <wp:effectExtent l="0" t="0" r="15875" b="13970"/>
            <wp:docPr id="1045" name="图片 8"/>
            <wp:cNvGraphicFramePr/>
            <a:graphic xmlns:a="http://schemas.openxmlformats.org/drawingml/2006/main">
              <a:graphicData uri="http://schemas.openxmlformats.org/drawingml/2006/picture">
                <pic:pic xmlns:pic="http://schemas.openxmlformats.org/drawingml/2006/picture">
                  <pic:nvPicPr>
                    <pic:cNvPr id="1045" name="图片 8"/>
                    <pic:cNvPicPr/>
                  </pic:nvPicPr>
                  <pic:blipFill>
                    <a:blip r:embed="rId24" cstate="print"/>
                    <a:srcRect/>
                    <a:stretch>
                      <a:fillRect/>
                    </a:stretch>
                  </pic:blipFill>
                  <pic:spPr>
                    <a:xfrm>
                      <a:off x="0" y="0"/>
                      <a:ext cx="2365375" cy="314833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bCs/>
          <w:snapToGrid w:val="0"/>
          <w:sz w:val="32"/>
          <w:szCs w:val="32"/>
        </w:rPr>
      </w:pPr>
      <w:r>
        <w:rPr>
          <w:rFonts w:hint="eastAsia" w:ascii="Times New Roman" w:hAnsi="Times New Roman" w:eastAsia="仿宋_GB2312" w:cs="Times New Roman"/>
          <w:snapToGrid w:val="0"/>
          <w:sz w:val="32"/>
          <w:szCs w:val="32"/>
        </w:rPr>
        <w:t>Ⅲ类医疗器械注册证书</w:t>
      </w:r>
      <w:r>
        <w:rPr>
          <w:rFonts w:hint="eastAsia" w:ascii="Times New Roman" w:hAnsi="Times New Roman" w:eastAsia="仿宋_GB2312" w:cs="Times New Roman"/>
          <w:bCs/>
          <w:snapToGrid w:val="0"/>
          <w:sz w:val="32"/>
          <w:szCs w:val="32"/>
        </w:rPr>
        <w:t>样式</w:t>
      </w:r>
      <w:r>
        <w:rPr>
          <w:rFonts w:hint="eastAsia" w:ascii="Times New Roman" w:hAnsi="Times New Roman" w:eastAsia="仿宋_GB2312" w:cs="Times New Roman"/>
          <w:snapToGrid w:val="0"/>
          <w:sz w:val="32"/>
          <w:szCs w:val="32"/>
        </w:rPr>
        <w:t>有效药物临床试验批件</w:t>
      </w:r>
      <w:r>
        <w:rPr>
          <w:rFonts w:hint="eastAsia" w:ascii="Times New Roman" w:hAnsi="Times New Roman" w:eastAsia="仿宋_GB2312" w:cs="Times New Roman"/>
          <w:bCs/>
          <w:snapToGrid w:val="0"/>
          <w:sz w:val="32"/>
          <w:szCs w:val="32"/>
        </w:rPr>
        <w:t>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bCs/>
          <w:snapToGrid w:val="0"/>
          <w:sz w:val="32"/>
          <w:szCs w:val="32"/>
        </w:rPr>
        <w:drawing>
          <wp:inline distT="0" distB="0" distL="0" distR="0">
            <wp:extent cx="2609850" cy="3625850"/>
            <wp:effectExtent l="0" t="0" r="0" b="12700"/>
            <wp:docPr id="1046" name="图片 3"/>
            <wp:cNvGraphicFramePr/>
            <a:graphic xmlns:a="http://schemas.openxmlformats.org/drawingml/2006/main">
              <a:graphicData uri="http://schemas.openxmlformats.org/drawingml/2006/picture">
                <pic:pic xmlns:pic="http://schemas.openxmlformats.org/drawingml/2006/picture">
                  <pic:nvPicPr>
                    <pic:cNvPr id="1046" name="图片 3"/>
                    <pic:cNvPicPr/>
                  </pic:nvPicPr>
                  <pic:blipFill>
                    <a:blip r:embed="rId25" cstate="print"/>
                    <a:srcRect/>
                    <a:stretch>
                      <a:fillRect/>
                    </a:stretch>
                  </pic:blipFill>
                  <pic:spPr>
                    <a:xfrm>
                      <a:off x="0" y="0"/>
                      <a:ext cx="2609850" cy="3625850"/>
                    </a:xfrm>
                    <a:prstGeom prst="rect">
                      <a:avLst/>
                    </a:prstGeom>
                    <a:ln>
                      <a:noFill/>
                    </a:ln>
                  </pic:spPr>
                </pic:pic>
              </a:graphicData>
            </a:graphic>
          </wp:inline>
        </w:drawing>
      </w:r>
      <w:r>
        <w:rPr>
          <w:rFonts w:hint="eastAsia" w:ascii="Times New Roman" w:hAnsi="Times New Roman" w:eastAsia="仿宋_GB2312" w:cs="Times New Roman"/>
          <w:snapToGrid w:val="0"/>
          <w:sz w:val="32"/>
          <w:szCs w:val="32"/>
        </w:rPr>
        <w:drawing>
          <wp:inline distT="0" distB="0" distL="0" distR="0">
            <wp:extent cx="2635250" cy="3657600"/>
            <wp:effectExtent l="0" t="0" r="12700" b="0"/>
            <wp:docPr id="1047" name="图片 1"/>
            <wp:cNvGraphicFramePr/>
            <a:graphic xmlns:a="http://schemas.openxmlformats.org/drawingml/2006/main">
              <a:graphicData uri="http://schemas.openxmlformats.org/drawingml/2006/picture">
                <pic:pic xmlns:pic="http://schemas.openxmlformats.org/drawingml/2006/picture">
                  <pic:nvPicPr>
                    <pic:cNvPr id="1047" name="图片 1"/>
                    <pic:cNvPicPr/>
                  </pic:nvPicPr>
                  <pic:blipFill>
                    <a:blip r:embed="rId26" cstate="print"/>
                    <a:srcRect/>
                    <a:stretch>
                      <a:fillRect/>
                    </a:stretch>
                  </pic:blipFill>
                  <pic:spPr>
                    <a:xfrm>
                      <a:off x="0" y="0"/>
                      <a:ext cx="2635250" cy="365760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实用新型专利证书样式外观设计专利证书样式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2660650" cy="3663950"/>
            <wp:effectExtent l="0" t="0" r="6350" b="12700"/>
            <wp:docPr id="1048" name="图片 2"/>
            <wp:cNvGraphicFramePr/>
            <a:graphic xmlns:a="http://schemas.openxmlformats.org/drawingml/2006/main">
              <a:graphicData uri="http://schemas.openxmlformats.org/drawingml/2006/picture">
                <pic:pic xmlns:pic="http://schemas.openxmlformats.org/drawingml/2006/picture">
                  <pic:nvPicPr>
                    <pic:cNvPr id="1048" name="图片 2"/>
                    <pic:cNvPicPr/>
                  </pic:nvPicPr>
                  <pic:blipFill>
                    <a:blip r:embed="rId27" cstate="print"/>
                    <a:srcRect/>
                    <a:stretch>
                      <a:fillRect/>
                    </a:stretch>
                  </pic:blipFill>
                  <pic:spPr>
                    <a:xfrm>
                      <a:off x="0" y="0"/>
                      <a:ext cx="2660650" cy="366395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软件著作权证书样式</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九、软件企业证书和软件产品证书</w:t>
      </w:r>
    </w:p>
    <w:p>
      <w:pPr>
        <w:pStyle w:val="5"/>
        <w:widowControl w:val="0"/>
        <w:adjustRightInd w:val="0"/>
        <w:spacing w:before="0" w:beforeAutospacing="0" w:after="0" w:afterAutospacing="0"/>
        <w:ind w:firstLine="640" w:firstLineChars="200"/>
        <w:rPr>
          <w:rFonts w:ascii="Times New Roman" w:hAnsi="Times New Roman" w:eastAsia="仿宋_GB2312" w:cs="Times New Roman"/>
          <w:bCs/>
          <w:snapToGrid w:val="0"/>
          <w:sz w:val="32"/>
          <w:szCs w:val="32"/>
        </w:rPr>
      </w:pPr>
      <w:r>
        <w:rPr>
          <w:rFonts w:hint="eastAsia" w:ascii="Times New Roman" w:hAnsi="Times New Roman" w:eastAsia="仿宋_GB2312" w:cs="Times New Roman"/>
          <w:bCs/>
          <w:snapToGrid w:val="0"/>
          <w:sz w:val="32"/>
          <w:szCs w:val="32"/>
        </w:rPr>
        <w:t>《评价办法》所指的软件企业证书和软件产品证书应是企业拥有的经中国软件行业协会，或省、自治区、直辖市、计划单列市软件行业评估机构评估的有效期内的软件企业证书和软件产品证书，评估信息可在中国软件行业协会双软评估公共服务平台（网址：</w:t>
      </w:r>
      <w:r>
        <w:rPr>
          <w:rFonts w:ascii="Times New Roman" w:hAnsi="Times New Roman" w:eastAsia="仿宋_GB2312" w:cs="Times New Roman"/>
          <w:bCs/>
          <w:snapToGrid w:val="0"/>
          <w:sz w:val="32"/>
          <w:szCs w:val="32"/>
        </w:rPr>
        <w:t>www.csia.org.cn</w:t>
      </w:r>
      <w:r>
        <w:rPr>
          <w:rFonts w:hint="eastAsia" w:ascii="Times New Roman" w:hAnsi="Times New Roman" w:eastAsia="仿宋_GB2312" w:cs="Times New Roman"/>
          <w:bCs/>
          <w:snapToGrid w:val="0"/>
          <w:sz w:val="32"/>
          <w:szCs w:val="32"/>
        </w:rPr>
        <w:t>）查询。企业应扫描上传证书作为证明材料</w:t>
      </w:r>
      <w:r>
        <w:rPr>
          <w:rFonts w:hint="eastAsia" w:ascii="Times New Roman" w:hAnsi="Times New Roman" w:eastAsia="仿宋_GB2312" w:cs="Times New Roman"/>
          <w:snapToGrid w:val="0"/>
          <w:sz w:val="32"/>
          <w:szCs w:val="32"/>
        </w:rPr>
        <w:t>（原件扫描上传或复印件盖企业公章扫描上传）</w:t>
      </w:r>
      <w:r>
        <w:rPr>
          <w:rFonts w:hint="eastAsia" w:ascii="Times New Roman" w:hAnsi="Times New Roman" w:eastAsia="仿宋_GB2312" w:cs="Times New Roman"/>
          <w:bCs/>
          <w:snapToGrid w:val="0"/>
          <w:sz w:val="32"/>
          <w:szCs w:val="32"/>
        </w:rPr>
        <w:t>。</w:t>
      </w:r>
    </w:p>
    <w:p>
      <w:pPr>
        <w:pStyle w:val="5"/>
        <w:widowControl w:val="0"/>
        <w:adjustRightInd w:val="0"/>
        <w:spacing w:before="0" w:beforeAutospacing="0" w:after="0" w:afterAutospacing="0"/>
        <w:ind w:firstLine="480" w:firstLineChars="200"/>
        <w:jc w:val="center"/>
        <w:rPr>
          <w:rFonts w:ascii="Times New Roman" w:hAnsi="Times New Roman" w:eastAsia="仿宋_GB2312" w:cs="Times New Roman"/>
          <w:bCs/>
          <w:snapToGrid w:val="0"/>
          <w:sz w:val="32"/>
          <w:szCs w:val="32"/>
        </w:rPr>
      </w:pPr>
      <w:r>
        <w:drawing>
          <wp:inline distT="0" distB="0" distL="0" distR="0">
            <wp:extent cx="3926840" cy="2377440"/>
            <wp:effectExtent l="0" t="0" r="16510" b="3810"/>
            <wp:docPr id="1049" name="Picture 5"/>
            <wp:cNvGraphicFramePr/>
            <a:graphic xmlns:a="http://schemas.openxmlformats.org/drawingml/2006/main">
              <a:graphicData uri="http://schemas.openxmlformats.org/drawingml/2006/picture">
                <pic:pic xmlns:pic="http://schemas.openxmlformats.org/drawingml/2006/picture">
                  <pic:nvPicPr>
                    <pic:cNvPr id="1049" name="Picture 5"/>
                    <pic:cNvPicPr/>
                  </pic:nvPicPr>
                  <pic:blipFill>
                    <a:blip r:embed="rId28" cstate="print"/>
                    <a:srcRect/>
                    <a:stretch>
                      <a:fillRect/>
                    </a:stretch>
                  </pic:blipFill>
                  <pic:spPr>
                    <a:xfrm>
                      <a:off x="0" y="0"/>
                      <a:ext cx="3926840" cy="2377440"/>
                    </a:xfrm>
                    <a:prstGeom prst="rect">
                      <a:avLst/>
                    </a:prstGeom>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bCs/>
          <w:snapToGrid w:val="0"/>
          <w:sz w:val="32"/>
          <w:szCs w:val="32"/>
        </w:rPr>
      </w:pPr>
      <w:r>
        <w:rPr>
          <w:rFonts w:hint="eastAsia" w:ascii="Times New Roman" w:hAnsi="Times New Roman" w:eastAsia="仿宋_GB2312" w:cs="Times New Roman"/>
          <w:bCs/>
          <w:snapToGrid w:val="0"/>
          <w:sz w:val="32"/>
          <w:szCs w:val="32"/>
        </w:rPr>
        <w:t>软件业务证书样式</w:t>
      </w:r>
    </w:p>
    <w:p>
      <w:pPr>
        <w:pStyle w:val="5"/>
        <w:widowControl w:val="0"/>
        <w:adjustRightInd w:val="0"/>
        <w:spacing w:before="0" w:beforeAutospacing="0" w:after="0" w:afterAutospacing="0"/>
        <w:ind w:firstLine="480" w:firstLineChars="200"/>
        <w:jc w:val="center"/>
      </w:pPr>
      <w:r>
        <w:drawing>
          <wp:inline distT="0" distB="0" distL="0" distR="0">
            <wp:extent cx="3944620" cy="2520950"/>
            <wp:effectExtent l="0" t="0" r="17780" b="12700"/>
            <wp:docPr id="1050" name="Picture 4"/>
            <wp:cNvGraphicFramePr/>
            <a:graphic xmlns:a="http://schemas.openxmlformats.org/drawingml/2006/main">
              <a:graphicData uri="http://schemas.openxmlformats.org/drawingml/2006/picture">
                <pic:pic xmlns:pic="http://schemas.openxmlformats.org/drawingml/2006/picture">
                  <pic:nvPicPr>
                    <pic:cNvPr id="1050" name="Picture 4"/>
                    <pic:cNvPicPr/>
                  </pic:nvPicPr>
                  <pic:blipFill>
                    <a:blip r:embed="rId29" cstate="print"/>
                    <a:srcRect/>
                    <a:stretch>
                      <a:fillRect/>
                    </a:stretch>
                  </pic:blipFill>
                  <pic:spPr>
                    <a:xfrm>
                      <a:off x="0" y="0"/>
                      <a:ext cx="3944620" cy="2520950"/>
                    </a:xfrm>
                    <a:prstGeom prst="rect">
                      <a:avLst/>
                    </a:prstGeom>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bCs/>
          <w:snapToGrid w:val="0"/>
          <w:sz w:val="32"/>
          <w:szCs w:val="32"/>
        </w:rPr>
      </w:pPr>
      <w:r>
        <w:rPr>
          <w:rFonts w:hint="eastAsia" w:ascii="Times New Roman" w:hAnsi="Times New Roman" w:eastAsia="仿宋_GB2312" w:cs="Times New Roman"/>
          <w:bCs/>
          <w:snapToGrid w:val="0"/>
          <w:sz w:val="32"/>
          <w:szCs w:val="32"/>
        </w:rPr>
        <w:t>软件产品证书样式</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十、创新创业大赛</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国家级创新创业大赛指大赛的牵头组织部门为国家的部（委）等单位，省级创新创业大赛指大赛的牵头组织部门为各省、直辖市、自治区的委（办、局）等单位。</w:t>
      </w:r>
      <w:r>
        <w:rPr>
          <w:rFonts w:hint="eastAsia" w:ascii="黑体" w:hAnsi="黑体" w:eastAsia="黑体" w:cs="黑体"/>
          <w:snapToGrid w:val="0"/>
          <w:sz w:val="32"/>
          <w:szCs w:val="32"/>
        </w:rPr>
        <w:t>企业需在“评价系统”上填写大赛的具体的牵头组织部门或单位（指实体的部门、单位或机构名称，不是填写大赛组委会名称），</w:t>
      </w:r>
      <w:r>
        <w:rPr>
          <w:rFonts w:hint="eastAsia" w:ascii="Times New Roman" w:hAnsi="Times New Roman" w:eastAsia="仿宋_GB2312" w:cs="Times New Roman"/>
          <w:snapToGrid w:val="0"/>
          <w:sz w:val="32"/>
          <w:szCs w:val="32"/>
        </w:rPr>
        <w:t>并扫描上传由大赛牵头组织部门颁布的获奖证书（原件扫描上传或复印件盖企业公章扫描上传）。</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十一、高新技术企业</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《评价办法》所指的高新技术企业应是企业拥有的高新技术企业证书在有效期内，国家高新技术企业编号可在“高新技术企业认定管理工作网”（网址：</w:t>
      </w:r>
      <w:r>
        <w:rPr>
          <w:rFonts w:ascii="Times New Roman" w:hAnsi="Times New Roman" w:eastAsia="仿宋_GB2312" w:cs="Times New Roman"/>
          <w:snapToGrid w:val="0"/>
          <w:sz w:val="32"/>
          <w:szCs w:val="32"/>
        </w:rPr>
        <w:t>www.innocom.gov.cn</w:t>
      </w:r>
      <w:r>
        <w:rPr>
          <w:rFonts w:hint="eastAsia" w:ascii="Times New Roman" w:hAnsi="Times New Roman" w:eastAsia="仿宋_GB2312" w:cs="Times New Roman"/>
          <w:snapToGrid w:val="0"/>
          <w:sz w:val="32"/>
          <w:szCs w:val="32"/>
        </w:rPr>
        <w:t>）查询。天津市高新技术企业以企业证书为准。目前，</w:t>
      </w:r>
      <w:r>
        <w:rPr>
          <w:rFonts w:hint="eastAsia" w:eastAsia="仿宋_GB2312"/>
          <w:snapToGrid w:val="0"/>
          <w:sz w:val="32"/>
          <w:szCs w:val="32"/>
        </w:rPr>
        <w:t>“评价系统”</w:t>
      </w:r>
      <w:r>
        <w:rPr>
          <w:rFonts w:hint="eastAsia" w:ascii="Times New Roman" w:hAnsi="Times New Roman" w:eastAsia="仿宋_GB2312" w:cs="Times New Roman"/>
          <w:snapToGrid w:val="0"/>
          <w:sz w:val="32"/>
          <w:szCs w:val="32"/>
        </w:rPr>
        <w:t>中已嵌入天津市所有有效期内的国家高企和市级高企名单，不需要企业填写。</w:t>
      </w:r>
      <w:r>
        <w:rPr>
          <w:rFonts w:hint="eastAsia" w:ascii="黑体" w:hAnsi="黑体" w:eastAsia="黑体" w:cs="黑体"/>
          <w:snapToGrid w:val="0"/>
          <w:sz w:val="32"/>
          <w:szCs w:val="32"/>
        </w:rPr>
        <w:t>2016年及以后颁发的国家级高企证书目前属于有效期内，但市级高企证书须是2017年及以后颁发的。</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十二、科技奖励</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获得过的国家级科技奖励包括国家最高科学技术奖、国家自然科学奖、国家技术发明奖、国家科学技术进步奖和中华人民共和国国际科学技术合作奖，以奖励证书为准。国家级科技奖励可在国家科学技术奖励办公室网站（网址：www.nosta.gov.cn）查询。省部级科技奖励包括国家各部委和各省、自治区、直辖市人民政府颁发的科技奖励（参考图3、图4）；以及</w:t>
      </w:r>
      <w:r>
        <w:rPr>
          <w:rFonts w:hint="eastAsia" w:ascii="黑体" w:hAnsi="黑体" w:eastAsia="黑体" w:cs="黑体"/>
          <w:snapToGrid w:val="0"/>
          <w:sz w:val="32"/>
          <w:szCs w:val="32"/>
        </w:rPr>
        <w:t>在国家科学技术奖励工作办公室备案的各学术团体、行业协会、企业、基金会及个人等社会力量设立的科学技术奖（详见附件），视同省部级科技奖励，其中，不设奖励等级的视同省部级一等奖。</w:t>
      </w:r>
      <w:r>
        <w:rPr>
          <w:rFonts w:hint="eastAsia" w:ascii="Times New Roman" w:hAnsi="Times New Roman" w:eastAsia="仿宋_GB2312" w:cs="Times New Roman"/>
          <w:snapToGrid w:val="0"/>
          <w:sz w:val="32"/>
          <w:szCs w:val="32"/>
        </w:rPr>
        <w:t>企业应扫描上传证书、文件等作为证明材料（原件扫描上传或复印件盖企业公章扫描上传）。</w:t>
      </w:r>
    </w:p>
    <w:p>
      <w:pPr>
        <w:widowControl/>
        <w:shd w:val="clear" w:color="auto" w:fill="FFFFFF"/>
        <w:spacing w:before="300" w:after="225" w:line="360" w:lineRule="atLeast"/>
        <w:jc w:val="center"/>
        <w:rPr>
          <w:rFonts w:eastAsia="仿宋_GB2312"/>
          <w:snapToGrid w:val="0"/>
          <w:sz w:val="32"/>
          <w:szCs w:val="32"/>
        </w:rPr>
      </w:pPr>
      <w:r>
        <w:rPr>
          <w:rFonts w:eastAsia="仿宋_GB2312"/>
          <w:snapToGrid w:val="0"/>
          <w:sz w:val="32"/>
          <w:szCs w:val="32"/>
        </w:rPr>
        <w:drawing>
          <wp:inline distT="0" distB="0" distL="0" distR="0">
            <wp:extent cx="2750820" cy="3920490"/>
            <wp:effectExtent l="0" t="0" r="11430" b="3810"/>
            <wp:docPr id="1053" name="_x0000_t75"/>
            <wp:cNvGraphicFramePr/>
            <a:graphic xmlns:a="http://schemas.openxmlformats.org/drawingml/2006/main">
              <a:graphicData uri="http://schemas.openxmlformats.org/drawingml/2006/picture">
                <pic:pic xmlns:pic="http://schemas.openxmlformats.org/drawingml/2006/picture">
                  <pic:nvPicPr>
                    <pic:cNvPr id="1053" name="_x0000_t75"/>
                    <pic:cNvPicPr/>
                  </pic:nvPicPr>
                  <pic:blipFill>
                    <a:blip r:embed="rId30" cstate="print"/>
                    <a:srcRect/>
                    <a:stretch>
                      <a:fillRect/>
                    </a:stretch>
                  </pic:blipFill>
                  <pic:spPr>
                    <a:xfrm>
                      <a:off x="0" y="0"/>
                      <a:ext cx="2750820" cy="3920490"/>
                    </a:xfrm>
                    <a:prstGeom prst="rect">
                      <a:avLst/>
                    </a:prstGeom>
                    <a:ln>
                      <a:noFill/>
                    </a:ln>
                  </pic:spPr>
                </pic:pic>
              </a:graphicData>
            </a:graphic>
          </wp:inline>
        </w:drawing>
      </w:r>
      <w:r>
        <w:rPr>
          <w:rFonts w:eastAsia="仿宋_GB2312"/>
          <w:snapToGrid w:val="0"/>
          <w:sz w:val="32"/>
          <w:szCs w:val="32"/>
        </w:rPr>
        <w:drawing>
          <wp:inline distT="0" distB="0" distL="0" distR="0">
            <wp:extent cx="2714625" cy="3933825"/>
            <wp:effectExtent l="0" t="0" r="0" b="0"/>
            <wp:docPr id="1054" name="_x0000_t75"/>
            <wp:cNvGraphicFramePr/>
            <a:graphic xmlns:a="http://schemas.openxmlformats.org/drawingml/2006/main">
              <a:graphicData uri="http://schemas.openxmlformats.org/drawingml/2006/picture">
                <pic:pic xmlns:pic="http://schemas.openxmlformats.org/drawingml/2006/picture">
                  <pic:nvPicPr>
                    <pic:cNvPr id="1054" name="_x0000_t75"/>
                    <pic:cNvPicPr/>
                  </pic:nvPicPr>
                  <pic:blipFill>
                    <a:blip r:embed="rId31" cstate="print"/>
                    <a:srcRect/>
                    <a:stretch>
                      <a:fillRect/>
                    </a:stretch>
                  </pic:blipFill>
                  <pic:spPr>
                    <a:xfrm>
                      <a:off x="0" y="0"/>
                      <a:ext cx="2714625" cy="3933825"/>
                    </a:xfrm>
                    <a:prstGeom prst="rect">
                      <a:avLst/>
                    </a:prstGeom>
                    <a:ln>
                      <a:noFill/>
                    </a:ln>
                  </pic:spPr>
                </pic:pic>
              </a:graphicData>
            </a:graphic>
          </wp:inline>
        </w:drawing>
      </w:r>
    </w:p>
    <w:p>
      <w:pPr>
        <w:widowControl/>
        <w:shd w:val="clear" w:color="auto" w:fill="FFFFFF"/>
        <w:spacing w:before="300" w:after="225" w:line="360" w:lineRule="atLeast"/>
        <w:jc w:val="center"/>
        <w:rPr>
          <w:rFonts w:eastAsia="仿宋_GB2312"/>
          <w:snapToGrid w:val="0"/>
          <w:spacing w:val="-20"/>
          <w:sz w:val="32"/>
          <w:szCs w:val="32"/>
        </w:rPr>
      </w:pPr>
      <w:r>
        <w:rPr>
          <w:rFonts w:hint="eastAsia" w:eastAsia="仿宋_GB2312"/>
          <w:snapToGrid w:val="0"/>
          <w:spacing w:val="-20"/>
          <w:sz w:val="32"/>
          <w:szCs w:val="32"/>
        </w:rPr>
        <w:t>国家科学技术进步奖奖励证书样式  省级科学技术奖奖励证书样式</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十三、研发机构</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《评价办法》所指的拥有的国家级和省部级研发机构包括国家（省、部）</w:t>
      </w:r>
      <w:r>
        <w:rPr>
          <w:rFonts w:hint="eastAsia" w:eastAsia="仿宋_GB2312" w:cs="仿宋_GB2312"/>
          <w:snapToGrid w:val="0"/>
          <w:sz w:val="32"/>
          <w:szCs w:val="32"/>
        </w:rPr>
        <w:t>技术创新中心、重点实验室、产业创新中心、工程研究中心、制造业创新中心、企业技术中心、</w:t>
      </w:r>
      <w:r>
        <w:rPr>
          <w:rFonts w:hint="eastAsia" w:ascii="Times New Roman" w:hAnsi="Times New Roman" w:eastAsia="仿宋_GB2312" w:cs="Times New Roman"/>
          <w:snapToGrid w:val="0"/>
          <w:sz w:val="32"/>
          <w:szCs w:val="32"/>
        </w:rPr>
        <w:t>国际联合研究中心、工程技术研究中心、工程实验室等，以出具的研发机构批准、认定文件或证书为准。企业应扫描上传证书、文件等作为证明材料（原件扫描上传或复印件盖企业公章扫描上传）。</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十四、制定标准</w:t>
      </w:r>
    </w:p>
    <w:p>
      <w:pPr>
        <w:pStyle w:val="5"/>
        <w:widowControl w:val="0"/>
        <w:adjustRightInd w:val="0"/>
        <w:spacing w:before="0" w:beforeAutospacing="0" w:after="0" w:afterAutospacing="0"/>
        <w:ind w:firstLine="640" w:firstLineChars="200"/>
        <w:jc w:val="both"/>
        <w:rPr>
          <w:rStyle w:val="14"/>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《评价办法》所指的企业主导制定过国际标准、国家标准、行业标准、地方标准或企业标准，应出具相关标准文本或证明材料。国际标准应是全国标准信息公共服务平台（网址：</w:t>
      </w:r>
      <w:r>
        <w:rPr>
          <w:rFonts w:ascii="Times New Roman" w:hAnsi="Times New Roman" w:eastAsia="仿宋_GB2312" w:cs="Times New Roman"/>
          <w:snapToGrid w:val="0"/>
          <w:sz w:val="32"/>
          <w:szCs w:val="32"/>
        </w:rPr>
        <w:t>www.std.gov.cn</w:t>
      </w:r>
      <w:r>
        <w:rPr>
          <w:rFonts w:hint="eastAsia" w:ascii="Times New Roman" w:hAnsi="Times New Roman" w:eastAsia="仿宋_GB2312" w:cs="Times New Roman"/>
          <w:snapToGrid w:val="0"/>
          <w:sz w:val="32"/>
          <w:szCs w:val="32"/>
        </w:rPr>
        <w:t>）公布的国际标准化机构制定的标准。国家标准、行业标准、地方标准或企业标准</w:t>
      </w:r>
      <w:r>
        <w:rPr>
          <w:rFonts w:hint="eastAsia" w:ascii="黑体" w:hAnsi="黑体" w:eastAsia="黑体" w:cs="黑体"/>
          <w:snapToGrid w:val="0"/>
          <w:sz w:val="32"/>
          <w:szCs w:val="32"/>
        </w:rPr>
        <w:t>以全国标准信息公共服务平台</w:t>
      </w:r>
      <w:r>
        <w:rPr>
          <w:rFonts w:hint="eastAsia" w:ascii="黑体" w:hAnsi="黑体" w:eastAsia="黑体" w:cs="黑体"/>
          <w:snapToGrid w:val="0"/>
          <w:sz w:val="32"/>
          <w:szCs w:val="32"/>
        </w:rPr>
        <w:fldChar w:fldCharType="begin"/>
      </w:r>
      <w:r>
        <w:rPr>
          <w:rFonts w:hint="eastAsia" w:ascii="黑体" w:hAnsi="黑体" w:eastAsia="黑体" w:cs="黑体"/>
          <w:snapToGrid w:val="0"/>
          <w:sz w:val="32"/>
          <w:szCs w:val="32"/>
        </w:rPr>
        <w:instrText xml:space="preserve"> HYPERLINK "http://www.std.gov.cn）已经发布的国家标准为准。企业应扫描上传证书、文件等作为证明材料（原件或复印件均需首页盖企业公章，其它页骑缝章扫描上传）。" </w:instrText>
      </w:r>
      <w:r>
        <w:rPr>
          <w:rFonts w:hint="eastAsia" w:ascii="黑体" w:hAnsi="黑体" w:eastAsia="黑体" w:cs="黑体"/>
          <w:snapToGrid w:val="0"/>
          <w:sz w:val="32"/>
          <w:szCs w:val="32"/>
        </w:rPr>
        <w:fldChar w:fldCharType="separate"/>
      </w:r>
      <w:r>
        <w:rPr>
          <w:rStyle w:val="14"/>
          <w:rFonts w:hint="eastAsia" w:ascii="黑体" w:hAnsi="黑体" w:eastAsia="黑体" w:cs="黑体"/>
          <w:snapToGrid w:val="0"/>
          <w:sz w:val="32"/>
          <w:szCs w:val="32"/>
        </w:rPr>
        <w:t>已经发布的国家标准为准</w:t>
      </w:r>
      <w:r>
        <w:rPr>
          <w:rStyle w:val="14"/>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Style w:val="14"/>
          <w:rFonts w:hint="eastAsia" w:ascii="Times New Roman" w:hAnsi="Times New Roman" w:eastAsia="仿宋_GB2312" w:cs="Times New Roman"/>
          <w:snapToGrid w:val="0"/>
          <w:sz w:val="32"/>
          <w:szCs w:val="32"/>
        </w:rPr>
        <w:t>企业应扫描上传证书、文件等作为证明材料。</w:t>
      </w:r>
      <w:r>
        <w:rPr>
          <w:rFonts w:hint="eastAsia" w:ascii="黑体" w:hAnsi="黑体" w:eastAsia="黑体" w:cs="黑体"/>
          <w:snapToGrid w:val="0"/>
          <w:sz w:val="32"/>
          <w:szCs w:val="32"/>
        </w:rPr>
        <w:fldChar w:fldCharType="end"/>
      </w:r>
      <w:r>
        <w:rPr>
          <w:rFonts w:hint="eastAsia" w:ascii="Times New Roman" w:hAnsi="Times New Roman" w:eastAsia="仿宋_GB2312" w:cs="Times New Roman"/>
          <w:snapToGrid w:val="0"/>
          <w:sz w:val="32"/>
          <w:szCs w:val="32"/>
        </w:rPr>
        <w:t>其中，行业标准（网址hbba.sacinfo.org.cn/）和企业标准（网址</w:t>
      </w:r>
      <w:r>
        <w:rPr>
          <w:rFonts w:ascii="Times New Roman" w:hAnsi="Times New Roman" w:eastAsia="仿宋_GB2312" w:cs="Times New Roman"/>
          <w:snapToGrid w:val="0"/>
          <w:sz w:val="32"/>
          <w:szCs w:val="32"/>
        </w:rPr>
        <w:t>www.cpbz.gov.cn/）</w:t>
      </w:r>
      <w:r>
        <w:rPr>
          <w:rFonts w:hint="eastAsia" w:ascii="Times New Roman" w:hAnsi="Times New Roman" w:eastAsia="仿宋_GB2312" w:cs="Times New Roman"/>
          <w:snapToGrid w:val="0"/>
          <w:sz w:val="32"/>
          <w:szCs w:val="32"/>
        </w:rPr>
        <w:t>可通过网址查询并下载相应的PDF格式文件，直接上传该PDF文件至评价</w:t>
      </w:r>
      <w:r>
        <w:rPr>
          <w:rFonts w:hint="eastAsia" w:eastAsia="仿宋_GB2312"/>
          <w:snapToGrid w:val="0"/>
          <w:sz w:val="32"/>
          <w:szCs w:val="32"/>
        </w:rPr>
        <w:t>“评价系统”</w:t>
      </w:r>
      <w:r>
        <w:rPr>
          <w:rFonts w:hint="eastAsia" w:ascii="Times New Roman" w:hAnsi="Times New Roman" w:eastAsia="仿宋_GB2312" w:cs="Times New Roman"/>
          <w:snapToGrid w:val="0"/>
          <w:sz w:val="32"/>
          <w:szCs w:val="32"/>
        </w:rPr>
        <w:t>即可，查询及下载过程如下。其他标准，需</w:t>
      </w:r>
      <w:r>
        <w:rPr>
          <w:rStyle w:val="14"/>
          <w:rFonts w:ascii="Times New Roman" w:hAnsi="Times New Roman" w:eastAsia="仿宋_GB2312" w:cs="Times New Roman"/>
          <w:snapToGrid w:val="0"/>
          <w:sz w:val="32"/>
          <w:szCs w:val="32"/>
        </w:rPr>
        <w:t>扫描上传</w:t>
      </w:r>
      <w:r>
        <w:rPr>
          <w:rStyle w:val="14"/>
          <w:rFonts w:hint="eastAsia" w:ascii="Times New Roman" w:hAnsi="Times New Roman" w:eastAsia="仿宋_GB2312" w:cs="Times New Roman"/>
          <w:snapToGrid w:val="0"/>
          <w:sz w:val="32"/>
          <w:szCs w:val="32"/>
        </w:rPr>
        <w:t>原件或复印件（均需首页</w:t>
      </w:r>
      <w:r>
        <w:rPr>
          <w:rStyle w:val="14"/>
          <w:rFonts w:ascii="Times New Roman" w:hAnsi="Times New Roman" w:eastAsia="仿宋_GB2312" w:cs="Times New Roman"/>
          <w:snapToGrid w:val="0"/>
          <w:sz w:val="32"/>
          <w:szCs w:val="32"/>
        </w:rPr>
        <w:t>盖企业公章</w:t>
      </w:r>
      <w:r>
        <w:rPr>
          <w:rStyle w:val="14"/>
          <w:rFonts w:hint="eastAsia" w:ascii="Times New Roman" w:hAnsi="Times New Roman" w:eastAsia="仿宋_GB2312" w:cs="Times New Roman"/>
          <w:snapToGrid w:val="0"/>
          <w:sz w:val="32"/>
          <w:szCs w:val="32"/>
        </w:rPr>
        <w:t>，其它页骑缝章）。</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114300" distR="114300">
            <wp:extent cx="4371975" cy="3724275"/>
            <wp:effectExtent l="0" t="0" r="9525" b="9525"/>
            <wp:docPr id="3" name="图片 1" descr="微信图片_2019070809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190708094320"/>
                    <pic:cNvPicPr>
                      <a:picLocks noChangeAspect="1"/>
                    </pic:cNvPicPr>
                  </pic:nvPicPr>
                  <pic:blipFill>
                    <a:blip r:embed="rId32"/>
                    <a:stretch>
                      <a:fillRect/>
                    </a:stretch>
                  </pic:blipFill>
                  <pic:spPr>
                    <a:xfrm>
                      <a:off x="0" y="0"/>
                      <a:ext cx="4371975" cy="3724275"/>
                    </a:xfrm>
                    <a:prstGeom prst="rect">
                      <a:avLst/>
                    </a:prstGeom>
                    <a:noFill/>
                    <a:ln w="9525">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行业标准下载位置示意图</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drawing>
          <wp:inline distT="0" distB="0" distL="114300" distR="114300">
            <wp:extent cx="2800350" cy="3067050"/>
            <wp:effectExtent l="0" t="0" r="0" b="0"/>
            <wp:docPr id="2" name="图片 2" descr="微信图片_2019070809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708094813"/>
                    <pic:cNvPicPr>
                      <a:picLocks noChangeAspect="1"/>
                    </pic:cNvPicPr>
                  </pic:nvPicPr>
                  <pic:blipFill>
                    <a:blip r:embed="rId33"/>
                    <a:stretch>
                      <a:fillRect/>
                    </a:stretch>
                  </pic:blipFill>
                  <pic:spPr>
                    <a:xfrm>
                      <a:off x="0" y="0"/>
                      <a:ext cx="2800350" cy="3067050"/>
                    </a:xfrm>
                    <a:prstGeom prst="rect">
                      <a:avLst/>
                    </a:prstGeom>
                    <a:noFill/>
                    <a:ln w="9525">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企业标准下载位置示意图</w:t>
      </w:r>
    </w:p>
    <w:p>
      <w:pPr>
        <w:pStyle w:val="5"/>
        <w:widowControl w:val="0"/>
        <w:adjustRightInd w:val="0"/>
        <w:spacing w:before="0" w:beforeAutospacing="0" w:after="0" w:afterAutospacing="0"/>
        <w:jc w:val="both"/>
        <w:rPr>
          <w:rFonts w:ascii="Times New Roman" w:hAnsi="Times New Roman" w:eastAsia="仿宋_GB2312" w:cs="Times New Roman"/>
          <w:snapToGrid w:val="0"/>
          <w:sz w:val="32"/>
          <w:szCs w:val="32"/>
        </w:rPr>
      </w:pP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2409825" cy="3343275"/>
            <wp:effectExtent l="0" t="0" r="0" b="0"/>
            <wp:docPr id="1056" name="_x0000_t75"/>
            <wp:cNvGraphicFramePr/>
            <a:graphic xmlns:a="http://schemas.openxmlformats.org/drawingml/2006/main">
              <a:graphicData uri="http://schemas.openxmlformats.org/drawingml/2006/picture">
                <pic:pic xmlns:pic="http://schemas.openxmlformats.org/drawingml/2006/picture">
                  <pic:nvPicPr>
                    <pic:cNvPr id="1056" name="_x0000_t75"/>
                    <pic:cNvPicPr/>
                  </pic:nvPicPr>
                  <pic:blipFill>
                    <a:blip r:embed="rId34" cstate="print"/>
                    <a:srcRect/>
                    <a:stretch>
                      <a:fillRect/>
                    </a:stretch>
                  </pic:blipFill>
                  <pic:spPr>
                    <a:xfrm>
                      <a:off x="0" y="0"/>
                      <a:ext cx="2409825" cy="3343275"/>
                    </a:xfrm>
                    <a:prstGeom prst="rect">
                      <a:avLst/>
                    </a:prstGeom>
                    <a:ln>
                      <a:noFill/>
                    </a:ln>
                  </pic:spPr>
                </pic:pic>
              </a:graphicData>
            </a:graphic>
          </wp:inline>
        </w:drawing>
      </w:r>
      <w:r>
        <w:rPr>
          <w:rFonts w:hint="eastAsia"/>
        </w:rPr>
        <w:t xml:space="preserve"> </w:t>
      </w:r>
      <w:r>
        <w:drawing>
          <wp:inline distT="0" distB="0" distL="0" distR="0">
            <wp:extent cx="2400300" cy="3467100"/>
            <wp:effectExtent l="0" t="0" r="0" b="0"/>
            <wp:docPr id="1058" name="_x0000_t75"/>
            <wp:cNvGraphicFramePr/>
            <a:graphic xmlns:a="http://schemas.openxmlformats.org/drawingml/2006/main">
              <a:graphicData uri="http://schemas.openxmlformats.org/drawingml/2006/picture">
                <pic:pic xmlns:pic="http://schemas.openxmlformats.org/drawingml/2006/picture">
                  <pic:nvPicPr>
                    <pic:cNvPr id="1058" name="_x0000_t75"/>
                    <pic:cNvPicPr/>
                  </pic:nvPicPr>
                  <pic:blipFill>
                    <a:blip r:embed="rId35" cstate="print"/>
                    <a:srcRect/>
                    <a:stretch>
                      <a:fillRect/>
                    </a:stretch>
                  </pic:blipFill>
                  <pic:spPr>
                    <a:xfrm>
                      <a:off x="0" y="0"/>
                      <a:ext cx="2400300" cy="346710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国家标准样式         地方标准样式</w:t>
      </w:r>
    </w:p>
    <w:p>
      <w:pPr>
        <w:pStyle w:val="5"/>
        <w:widowControl w:val="0"/>
        <w:adjustRightInd w:val="0"/>
        <w:spacing w:before="0" w:beforeAutospacing="0" w:after="0" w:afterAutospacing="0"/>
        <w:ind w:firstLine="640" w:firstLineChars="200"/>
        <w:jc w:val="center"/>
      </w:pPr>
      <w:r>
        <w:rPr>
          <w:rFonts w:ascii="Times New Roman" w:hAnsi="Times New Roman" w:eastAsia="仿宋_GB2312" w:cs="Times New Roman"/>
          <w:snapToGrid w:val="0"/>
          <w:sz w:val="32"/>
          <w:szCs w:val="32"/>
        </w:rPr>
        <w:drawing>
          <wp:inline distT="0" distB="0" distL="0" distR="0">
            <wp:extent cx="2581275" cy="3657600"/>
            <wp:effectExtent l="0" t="0" r="9525" b="0"/>
            <wp:docPr id="1057" name="_x0000_t75"/>
            <wp:cNvGraphicFramePr/>
            <a:graphic xmlns:a="http://schemas.openxmlformats.org/drawingml/2006/main">
              <a:graphicData uri="http://schemas.openxmlformats.org/drawingml/2006/picture">
                <pic:pic xmlns:pic="http://schemas.openxmlformats.org/drawingml/2006/picture">
                  <pic:nvPicPr>
                    <pic:cNvPr id="1057" name="_x0000_t75"/>
                    <pic:cNvPicPr/>
                  </pic:nvPicPr>
                  <pic:blipFill>
                    <a:blip r:embed="rId36" cstate="print"/>
                    <a:srcRect/>
                    <a:stretch>
                      <a:fillRect/>
                    </a:stretch>
                  </pic:blipFill>
                  <pic:spPr>
                    <a:xfrm>
                      <a:off x="0" y="0"/>
                      <a:ext cx="2581275" cy="3657600"/>
                    </a:xfrm>
                    <a:prstGeom prst="rect">
                      <a:avLst/>
                    </a:prstGeom>
                    <a:ln>
                      <a:noFill/>
                    </a:ln>
                  </pic:spPr>
                </pic:pic>
              </a:graphicData>
            </a:graphic>
          </wp:inline>
        </w:drawing>
      </w:r>
      <w:r>
        <w:rPr>
          <w:rFonts w:hint="eastAsia"/>
        </w:rPr>
        <w:drawing>
          <wp:inline distT="0" distB="0" distL="0" distR="0">
            <wp:extent cx="2375535" cy="3366770"/>
            <wp:effectExtent l="19050" t="0" r="5715" b="0"/>
            <wp:docPr id="1059" name="图片 13"/>
            <wp:cNvGraphicFramePr/>
            <a:graphic xmlns:a="http://schemas.openxmlformats.org/drawingml/2006/main">
              <a:graphicData uri="http://schemas.openxmlformats.org/drawingml/2006/picture">
                <pic:pic xmlns:pic="http://schemas.openxmlformats.org/drawingml/2006/picture">
                  <pic:nvPicPr>
                    <pic:cNvPr id="1059" name="图片 13"/>
                    <pic:cNvPicPr/>
                  </pic:nvPicPr>
                  <pic:blipFill>
                    <a:blip r:embed="rId37" cstate="print"/>
                    <a:srcRect/>
                    <a:stretch>
                      <a:fillRect/>
                    </a:stretch>
                  </pic:blipFill>
                  <pic:spPr>
                    <a:xfrm>
                      <a:off x="0" y="0"/>
                      <a:ext cx="2375535" cy="3366770"/>
                    </a:xfrm>
                    <a:prstGeom prst="rect">
                      <a:avLst/>
                    </a:prstGeom>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行业标准样式           企业标准样式</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drawing>
          <wp:inline distT="0" distB="0" distL="0" distR="0">
            <wp:extent cx="2423160" cy="3425190"/>
            <wp:effectExtent l="0" t="0" r="15240" b="3810"/>
            <wp:docPr id="1060" name="图片 10"/>
            <wp:cNvGraphicFramePr/>
            <a:graphic xmlns:a="http://schemas.openxmlformats.org/drawingml/2006/main">
              <a:graphicData uri="http://schemas.openxmlformats.org/drawingml/2006/picture">
                <pic:pic xmlns:pic="http://schemas.openxmlformats.org/drawingml/2006/picture">
                  <pic:nvPicPr>
                    <pic:cNvPr id="1060" name="图片 10"/>
                    <pic:cNvPicPr/>
                  </pic:nvPicPr>
                  <pic:blipFill>
                    <a:blip r:embed="rId38" cstate="print"/>
                    <a:srcRect/>
                    <a:stretch>
                      <a:fillRect/>
                    </a:stretch>
                  </pic:blipFill>
                  <pic:spPr>
                    <a:xfrm>
                      <a:off x="0" y="0"/>
                      <a:ext cx="2423160" cy="3425190"/>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团体标准样式</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十五、企业一次性获得风险投资细化</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风险投资是指投资机构向企业提供资金支持并取得该企业股份的一种投资方式。一次性获得风险投资是指投资协议中明确的一次性投资额度，并不是指投资机构一次性银行打款的额度，投资机构可以按照投资协议、实际投资进度分多次给企业打款，主要以货币出资方式进行投资。</w:t>
      </w:r>
    </w:p>
    <w:p>
      <w:pPr>
        <w:adjustRightInd w:val="0"/>
        <w:ind w:firstLine="640" w:firstLineChars="200"/>
        <w:rPr>
          <w:rFonts w:eastAsia="仿宋_GB2312"/>
          <w:snapToGrid w:val="0"/>
          <w:sz w:val="32"/>
          <w:szCs w:val="32"/>
        </w:rPr>
      </w:pPr>
      <w:r>
        <w:rPr>
          <w:rFonts w:eastAsia="仿宋_GB2312"/>
          <w:snapToGrid w:val="0"/>
          <w:sz w:val="32"/>
          <w:szCs w:val="32"/>
        </w:rPr>
        <w:t>1</w:t>
      </w:r>
      <w:r>
        <w:rPr>
          <w:rFonts w:hint="eastAsia" w:eastAsia="仿宋_GB2312"/>
          <w:snapToGrid w:val="0"/>
          <w:sz w:val="32"/>
          <w:szCs w:val="32"/>
        </w:rPr>
        <w:t>、</w:t>
      </w:r>
      <w:r>
        <w:rPr>
          <w:rFonts w:eastAsia="仿宋_GB2312"/>
          <w:snapToGrid w:val="0"/>
          <w:sz w:val="32"/>
          <w:szCs w:val="32"/>
        </w:rPr>
        <w:t>投资机构应是在中国证券投资基金业协会完成私募基金备案或私募基金管理人备案的机构，或是国有风险投资机构。</w:t>
      </w:r>
      <w:r>
        <w:rPr>
          <w:rFonts w:hint="eastAsia" w:eastAsia="仿宋_GB2312"/>
          <w:snapToGrid w:val="0"/>
          <w:sz w:val="32"/>
          <w:szCs w:val="32"/>
        </w:rPr>
        <w:t>备案情况，企业可以通过网址（</w:t>
      </w:r>
      <w:r>
        <w:rPr>
          <w:rFonts w:eastAsia="仿宋_GB2312"/>
          <w:snapToGrid w:val="0"/>
          <w:sz w:val="32"/>
          <w:szCs w:val="32"/>
        </w:rPr>
        <w:t>www.amac.org.cn</w:t>
      </w:r>
      <w:r>
        <w:rPr>
          <w:rFonts w:hint="eastAsia" w:eastAsia="仿宋_GB2312"/>
          <w:snapToGrid w:val="0"/>
          <w:sz w:val="32"/>
          <w:szCs w:val="32"/>
        </w:rPr>
        <w:t>）查询并下载相关文件。登录网址----点击信息公示----点击私募基金管理人公示或私募基金公示----输入投资机构名称，点击进入页面----打印此页，选择更改另存为PDF----上传PDF文件（私募基金或私募基金管理人，上传其一即可）。</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4819650" cy="3209925"/>
            <wp:effectExtent l="19050" t="0" r="0" b="0"/>
            <wp:docPr id="1061" name="图片 6"/>
            <wp:cNvGraphicFramePr/>
            <a:graphic xmlns:a="http://schemas.openxmlformats.org/drawingml/2006/main">
              <a:graphicData uri="http://schemas.openxmlformats.org/drawingml/2006/picture">
                <pic:pic xmlns:pic="http://schemas.openxmlformats.org/drawingml/2006/picture">
                  <pic:nvPicPr>
                    <pic:cNvPr id="1061" name="图片 6"/>
                    <pic:cNvPicPr/>
                  </pic:nvPicPr>
                  <pic:blipFill>
                    <a:blip r:embed="rId39" cstate="print"/>
                    <a:srcRect/>
                    <a:stretch>
                      <a:fillRect/>
                    </a:stretch>
                  </pic:blipFill>
                  <pic:spPr>
                    <a:xfrm>
                      <a:off x="0" y="0"/>
                      <a:ext cx="4819650" cy="3209925"/>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ascii="Times New Roman" w:hAnsi="Times New Roman" w:eastAsia="仿宋_GB2312" w:cs="Times New Roman"/>
          <w:sz w:val="32"/>
          <w:szCs w:val="32"/>
        </w:rPr>
        <w:drawing>
          <wp:inline distT="0" distB="0" distL="0" distR="0">
            <wp:extent cx="5486400" cy="2857500"/>
            <wp:effectExtent l="19050" t="0" r="0" b="0"/>
            <wp:docPr id="1062" name="图片 1"/>
            <wp:cNvGraphicFramePr/>
            <a:graphic xmlns:a="http://schemas.openxmlformats.org/drawingml/2006/main">
              <a:graphicData uri="http://schemas.openxmlformats.org/drawingml/2006/picture">
                <pic:pic xmlns:pic="http://schemas.openxmlformats.org/drawingml/2006/picture">
                  <pic:nvPicPr>
                    <pic:cNvPr id="1062" name="图片 1"/>
                    <pic:cNvPicPr/>
                  </pic:nvPicPr>
                  <pic:blipFill>
                    <a:blip r:embed="rId40" cstate="print"/>
                    <a:srcRect/>
                    <a:stretch>
                      <a:fillRect/>
                    </a:stretch>
                  </pic:blipFill>
                  <pic:spPr>
                    <a:xfrm>
                      <a:off x="0" y="0"/>
                      <a:ext cx="5486400" cy="2857500"/>
                    </a:xfrm>
                    <a:prstGeom prst="rect">
                      <a:avLst/>
                    </a:prstGeom>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下载过程示意图</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4638675" cy="3400425"/>
            <wp:effectExtent l="19050" t="0" r="9525" b="0"/>
            <wp:docPr id="1063" name="图片 7"/>
            <wp:cNvGraphicFramePr/>
            <a:graphic xmlns:a="http://schemas.openxmlformats.org/drawingml/2006/main">
              <a:graphicData uri="http://schemas.openxmlformats.org/drawingml/2006/picture">
                <pic:pic xmlns:pic="http://schemas.openxmlformats.org/drawingml/2006/picture">
                  <pic:nvPicPr>
                    <pic:cNvPr id="1063" name="图片 7"/>
                    <pic:cNvPicPr/>
                  </pic:nvPicPr>
                  <pic:blipFill>
                    <a:blip r:embed="rId41" cstate="print"/>
                    <a:srcRect/>
                    <a:stretch>
                      <a:fillRect/>
                    </a:stretch>
                  </pic:blipFill>
                  <pic:spPr>
                    <a:xfrm>
                      <a:off x="0" y="0"/>
                      <a:ext cx="4638675" cy="3400425"/>
                    </a:xfrm>
                    <a:prstGeom prst="rect">
                      <a:avLst/>
                    </a:prstGeom>
                    <a:ln>
                      <a:noFill/>
                    </a:ln>
                  </pic:spPr>
                </pic:pic>
              </a:graphicData>
            </a:graphic>
          </wp:inline>
        </w:drawing>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私募基金备案样式（非全图）</w:t>
      </w:r>
    </w:p>
    <w:p>
      <w:pPr>
        <w:pStyle w:val="5"/>
        <w:widowControl w:val="0"/>
        <w:adjustRightInd w:val="0"/>
        <w:spacing w:before="0" w:beforeAutospacing="0" w:after="0" w:afterAutospacing="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drawing>
          <wp:inline distT="0" distB="0" distL="0" distR="0">
            <wp:extent cx="4476750" cy="3086100"/>
            <wp:effectExtent l="19050" t="0" r="0" b="0"/>
            <wp:docPr id="1064" name="图片 8"/>
            <wp:cNvGraphicFramePr/>
            <a:graphic xmlns:a="http://schemas.openxmlformats.org/drawingml/2006/main">
              <a:graphicData uri="http://schemas.openxmlformats.org/drawingml/2006/picture">
                <pic:pic xmlns:pic="http://schemas.openxmlformats.org/drawingml/2006/picture">
                  <pic:nvPicPr>
                    <pic:cNvPr id="1064" name="图片 8"/>
                    <pic:cNvPicPr/>
                  </pic:nvPicPr>
                  <pic:blipFill>
                    <a:blip r:embed="rId42" cstate="print"/>
                    <a:srcRect/>
                    <a:stretch>
                      <a:fillRect/>
                    </a:stretch>
                  </pic:blipFill>
                  <pic:spPr>
                    <a:xfrm>
                      <a:off x="0" y="0"/>
                      <a:ext cx="4476750" cy="3086100"/>
                    </a:xfrm>
                    <a:prstGeom prst="rect">
                      <a:avLst/>
                    </a:prstGeom>
                    <a:ln>
                      <a:noFill/>
                    </a:ln>
                  </pic:spPr>
                </pic:pic>
              </a:graphicData>
            </a:graphic>
          </wp:inline>
        </w:drawing>
      </w:r>
    </w:p>
    <w:p>
      <w:pPr>
        <w:pStyle w:val="5"/>
        <w:widowControl w:val="0"/>
        <w:adjustRightInd w:val="0"/>
        <w:spacing w:before="0" w:beforeAutospacing="0" w:after="0" w:afterAutospacing="0"/>
        <w:ind w:firstLine="960" w:firstLineChars="30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私募基金管理人备案样式（非全图）</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3、如果投资机构是没有在中国证券投资基金业协会完成私募基金备案或私募基金管理人备案的国有风险投资机构，企业可上传投资机构所持有的国有资产产权登记证或者</w:t>
      </w:r>
      <w:r>
        <w:rPr>
          <w:rFonts w:ascii="Times New Roman" w:hAnsi="Times New Roman" w:eastAsia="仿宋_GB2312" w:cs="Times New Roman"/>
          <w:snapToGrid w:val="0"/>
          <w:sz w:val="32"/>
          <w:szCs w:val="32"/>
        </w:rPr>
        <w:t>由投资机构出具的说明文件</w:t>
      </w:r>
      <w:r>
        <w:rPr>
          <w:rFonts w:hint="eastAsia" w:ascii="Times New Roman" w:hAnsi="Times New Roman" w:eastAsia="仿宋_GB2312" w:cs="Times New Roman"/>
          <w:snapToGrid w:val="0"/>
          <w:sz w:val="32"/>
          <w:szCs w:val="32"/>
        </w:rPr>
        <w:t>（原件扫描上传或复印件盖企业公章扫描上传），样式如下图。</w:t>
      </w:r>
    </w:p>
    <w:p>
      <w:pPr>
        <w:pStyle w:val="5"/>
        <w:widowControl w:val="0"/>
        <w:adjustRightInd w:val="0"/>
        <w:spacing w:before="0" w:beforeAutospacing="0" w:after="0" w:afterAutospacing="0"/>
        <w:jc w:val="center"/>
        <w:rPr>
          <w:rFonts w:ascii="Times New Roman" w:hAnsi="Times New Roman" w:eastAsia="仿宋_GB2312" w:cs="Times New Roman"/>
          <w:bCs/>
          <w:snapToGrid w:val="0"/>
          <w:sz w:val="32"/>
          <w:szCs w:val="32"/>
        </w:rPr>
      </w:pPr>
      <w:r>
        <w:rPr>
          <w:rFonts w:ascii="Times New Roman" w:hAnsi="Times New Roman" w:eastAsia="仿宋_GB2312" w:cs="Times New Roman"/>
          <w:bCs/>
          <w:sz w:val="32"/>
          <w:szCs w:val="32"/>
        </w:rPr>
        <w:drawing>
          <wp:inline distT="0" distB="0" distL="0" distR="0">
            <wp:extent cx="2686050" cy="2079625"/>
            <wp:effectExtent l="19050" t="0" r="0" b="0"/>
            <wp:docPr id="1065" name="图片 12"/>
            <wp:cNvGraphicFramePr/>
            <a:graphic xmlns:a="http://schemas.openxmlformats.org/drawingml/2006/main">
              <a:graphicData uri="http://schemas.openxmlformats.org/drawingml/2006/picture">
                <pic:pic xmlns:pic="http://schemas.openxmlformats.org/drawingml/2006/picture">
                  <pic:nvPicPr>
                    <pic:cNvPr id="1065" name="图片 12"/>
                    <pic:cNvPicPr/>
                  </pic:nvPicPr>
                  <pic:blipFill>
                    <a:blip r:embed="rId43" cstate="print"/>
                    <a:srcRect/>
                    <a:stretch>
                      <a:fillRect/>
                    </a:stretch>
                  </pic:blipFill>
                  <pic:spPr>
                    <a:xfrm>
                      <a:off x="0" y="0"/>
                      <a:ext cx="2686050" cy="2079625"/>
                    </a:xfrm>
                    <a:prstGeom prst="rect">
                      <a:avLst/>
                    </a:prstGeom>
                    <a:ln>
                      <a:noFill/>
                    </a:ln>
                  </pic:spPr>
                </pic:pic>
              </a:graphicData>
            </a:graphic>
          </wp:inline>
        </w:drawing>
      </w:r>
      <w:r>
        <w:rPr>
          <w:rFonts w:ascii="Times New Roman" w:hAnsi="Times New Roman" w:eastAsia="仿宋_GB2312" w:cs="Times New Roman"/>
          <w:bCs/>
          <w:sz w:val="32"/>
          <w:szCs w:val="32"/>
        </w:rPr>
        <w:drawing>
          <wp:inline distT="0" distB="0" distL="0" distR="0">
            <wp:extent cx="2562225" cy="1996440"/>
            <wp:effectExtent l="19050" t="0" r="9525" b="0"/>
            <wp:docPr id="1066" name="图片 1"/>
            <wp:cNvGraphicFramePr/>
            <a:graphic xmlns:a="http://schemas.openxmlformats.org/drawingml/2006/main">
              <a:graphicData uri="http://schemas.openxmlformats.org/drawingml/2006/picture">
                <pic:pic xmlns:pic="http://schemas.openxmlformats.org/drawingml/2006/picture">
                  <pic:nvPicPr>
                    <pic:cNvPr id="1066" name="图片 1"/>
                    <pic:cNvPicPr/>
                  </pic:nvPicPr>
                  <pic:blipFill>
                    <a:blip r:embed="rId44" cstate="print"/>
                    <a:srcRect/>
                    <a:stretch>
                      <a:fillRect/>
                    </a:stretch>
                  </pic:blipFill>
                  <pic:spPr>
                    <a:xfrm>
                      <a:off x="0" y="0"/>
                      <a:ext cx="2562225" cy="1996909"/>
                    </a:xfrm>
                    <a:prstGeom prst="rect">
                      <a:avLst/>
                    </a:prstGeom>
                    <a:ln>
                      <a:noFill/>
                    </a:ln>
                  </pic:spPr>
                </pic:pic>
              </a:graphicData>
            </a:graphic>
          </wp:inline>
        </w:drawing>
      </w:r>
    </w:p>
    <w:p>
      <w:pPr>
        <w:pStyle w:val="5"/>
        <w:widowControl w:val="0"/>
        <w:adjustRightInd w:val="0"/>
        <w:spacing w:before="0" w:beforeAutospacing="0" w:after="0" w:afterAutospacing="0"/>
        <w:ind w:firstLine="480" w:firstLineChars="15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国有资产产权登记证样式国有产权登记证说明</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4、企业需提供获得风险投资的投资协议和交割证明佐证材料。</w:t>
      </w:r>
    </w:p>
    <w:p>
      <w:pPr>
        <w:pStyle w:val="5"/>
        <w:widowControl w:val="0"/>
        <w:adjustRightInd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（1）投资协议佐证材料需提供投资协议原件扫描上传；或者投资协议复印件首页盖企业公章，其它页骑缝</w:t>
      </w:r>
      <w:r>
        <w:rPr>
          <w:rFonts w:hint="eastAsia" w:ascii="仿宋_GB2312" w:hAnsi="仿宋_GB2312" w:eastAsia="仿宋_GB2312" w:cs="仿宋_GB2312"/>
          <w:snapToGrid w:val="0"/>
          <w:sz w:val="32"/>
          <w:szCs w:val="32"/>
        </w:rPr>
        <w:t>章后扫描上传</w:t>
      </w:r>
      <w:r>
        <w:rPr>
          <w:rFonts w:hint="eastAsia" w:ascii="Times New Roman" w:hAnsi="Times New Roman" w:eastAsia="仿宋_GB2312" w:cs="Times New Roman"/>
          <w:snapToGrid w:val="0"/>
          <w:sz w:val="32"/>
          <w:szCs w:val="32"/>
        </w:rPr>
        <w:t>。</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（2）交割证明佐证材料包括资金到账凭证（指企业获得投资款的银行进账单）、公司股权变更证明。</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snapToGrid w:val="0"/>
          <w:sz w:val="32"/>
          <w:szCs w:val="32"/>
        </w:rPr>
        <w:t>a.</w:t>
      </w:r>
      <w:r>
        <w:rPr>
          <w:rFonts w:hint="eastAsia" w:ascii="Times New Roman" w:hAnsi="Times New Roman" w:eastAsia="仿宋_GB2312" w:cs="Times New Roman"/>
          <w:snapToGrid w:val="0"/>
          <w:sz w:val="32"/>
          <w:szCs w:val="32"/>
        </w:rPr>
        <w:t>企业需提供银行出具的收款单原件扫描上传；或者复印件盖企业公章</w:t>
      </w:r>
      <w:r>
        <w:rPr>
          <w:rFonts w:hint="eastAsia" w:ascii="仿宋_GB2312" w:hAnsi="仿宋_GB2312" w:eastAsia="仿宋_GB2312" w:cs="仿宋_GB2312"/>
          <w:snapToGrid w:val="0"/>
          <w:sz w:val="32"/>
          <w:szCs w:val="32"/>
        </w:rPr>
        <w:t>后扫描上传。</w:t>
      </w:r>
    </w:p>
    <w:p>
      <w:pPr>
        <w:pStyle w:val="5"/>
        <w:widowControl w:val="0"/>
        <w:adjustRightInd w:val="0"/>
        <w:spacing w:before="0" w:beforeAutospacing="0" w:after="0" w:afterAutospacing="0"/>
        <w:jc w:val="center"/>
        <w:rPr>
          <w:rFonts w:ascii="Times New Roman" w:hAnsi="Times New Roman" w:eastAsia="仿宋_GB2312" w:cs="Times New Roman"/>
          <w:bCs/>
          <w:snapToGrid w:val="0"/>
          <w:sz w:val="32"/>
          <w:szCs w:val="32"/>
        </w:rPr>
      </w:pPr>
      <w:r>
        <w:rPr>
          <w:rFonts w:ascii="Times New Roman" w:hAnsi="Times New Roman" w:eastAsia="仿宋_GB2312" w:cs="Times New Roman"/>
          <w:bCs/>
          <w:snapToGrid w:val="0"/>
          <w:sz w:val="32"/>
          <w:szCs w:val="32"/>
        </w:rPr>
        <w:drawing>
          <wp:inline distT="0" distB="0" distL="0" distR="0">
            <wp:extent cx="4587240" cy="2903220"/>
            <wp:effectExtent l="19050" t="0" r="3594" b="0"/>
            <wp:docPr id="1067" name="图片 13"/>
            <wp:cNvGraphicFramePr/>
            <a:graphic xmlns:a="http://schemas.openxmlformats.org/drawingml/2006/main">
              <a:graphicData uri="http://schemas.openxmlformats.org/drawingml/2006/picture">
                <pic:pic xmlns:pic="http://schemas.openxmlformats.org/drawingml/2006/picture">
                  <pic:nvPicPr>
                    <pic:cNvPr id="1067" name="图片 13"/>
                    <pic:cNvPicPr/>
                  </pic:nvPicPr>
                  <pic:blipFill>
                    <a:blip r:embed="rId45" cstate="print"/>
                    <a:srcRect/>
                    <a:stretch>
                      <a:fillRect/>
                    </a:stretch>
                  </pic:blipFill>
                  <pic:spPr>
                    <a:xfrm>
                      <a:off x="0" y="0"/>
                      <a:ext cx="4587240" cy="2903220"/>
                    </a:xfrm>
                    <a:prstGeom prst="rect">
                      <a:avLst/>
                    </a:prstGeom>
                    <a:ln>
                      <a:noFill/>
                    </a:ln>
                  </pic:spPr>
                </pic:pic>
              </a:graphicData>
            </a:graphic>
          </wp:inline>
        </w:drawing>
      </w:r>
    </w:p>
    <w:p>
      <w:pPr>
        <w:pStyle w:val="5"/>
        <w:widowControl w:val="0"/>
        <w:adjustRightInd w:val="0"/>
        <w:spacing w:before="0" w:beforeAutospacing="0" w:after="0" w:afterAutospacing="0"/>
        <w:ind w:firstLine="640" w:firstLineChars="200"/>
        <w:jc w:val="center"/>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资金到账凭证证明样式</w:t>
      </w:r>
    </w:p>
    <w:p>
      <w:pPr>
        <w:pStyle w:val="5"/>
        <w:widowControl w:val="0"/>
        <w:adjustRightInd w:val="0"/>
        <w:spacing w:before="0" w:beforeAutospacing="0" w:after="0" w:afterAutospacing="0"/>
        <w:ind w:firstLine="640" w:firstLineChars="200"/>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b.股东变更信息可直接上传企业信用信息公示报告（报告中必须含有“股东及出资信息”内容，具体操作步骤参考“六、企业信用”）。</w:t>
      </w:r>
    </w:p>
    <w:p>
      <w:pPr>
        <w:pStyle w:val="5"/>
        <w:widowControl w:val="0"/>
        <w:adjustRightInd w:val="0"/>
        <w:spacing w:before="0" w:beforeAutospacing="0" w:after="0" w:afterAutospacing="0"/>
        <w:ind w:firstLine="480" w:firstLineChars="200"/>
        <w:rPr>
          <w:rFonts w:ascii="Times New Roman" w:hAnsi="Times New Roman" w:eastAsia="仿宋_GB2312" w:cs="Times New Roman"/>
          <w:snapToGrid w:val="0"/>
          <w:sz w:val="32"/>
          <w:szCs w:val="32"/>
        </w:rPr>
      </w:pPr>
      <w:r>
        <w:drawing>
          <wp:inline distT="0" distB="0" distL="0" distR="0">
            <wp:extent cx="2463800" cy="3021965"/>
            <wp:effectExtent l="19050" t="0" r="0" b="0"/>
            <wp:docPr id="1068" name="Picture 4"/>
            <wp:cNvGraphicFramePr/>
            <a:graphic xmlns:a="http://schemas.openxmlformats.org/drawingml/2006/main">
              <a:graphicData uri="http://schemas.openxmlformats.org/drawingml/2006/picture">
                <pic:pic xmlns:pic="http://schemas.openxmlformats.org/drawingml/2006/picture">
                  <pic:nvPicPr>
                    <pic:cNvPr id="1068" name="Picture 4"/>
                    <pic:cNvPicPr/>
                  </pic:nvPicPr>
                  <pic:blipFill>
                    <a:blip r:embed="rId10" cstate="print"/>
                    <a:srcRect/>
                    <a:stretch>
                      <a:fillRect/>
                    </a:stretch>
                  </pic:blipFill>
                  <pic:spPr>
                    <a:xfrm>
                      <a:off x="0" y="0"/>
                      <a:ext cx="2463800" cy="3021965"/>
                    </a:xfrm>
                    <a:prstGeom prst="rect">
                      <a:avLst/>
                    </a:prstGeom>
                    <a:ln>
                      <a:noFill/>
                    </a:ln>
                  </pic:spPr>
                </pic:pic>
              </a:graphicData>
            </a:graphic>
          </wp:inline>
        </w:drawing>
      </w:r>
      <w:r>
        <w:rPr>
          <w:rFonts w:ascii="Times New Roman" w:hAnsi="Times New Roman" w:eastAsia="仿宋_GB2312" w:cs="Times New Roman"/>
          <w:snapToGrid w:val="0"/>
          <w:sz w:val="32"/>
          <w:szCs w:val="32"/>
        </w:rPr>
        <w:drawing>
          <wp:inline distT="0" distB="0" distL="0" distR="0">
            <wp:extent cx="2259330" cy="2987040"/>
            <wp:effectExtent l="0" t="0" r="7620" b="3810"/>
            <wp:docPr id="1069" name="Picture 3"/>
            <wp:cNvGraphicFramePr/>
            <a:graphic xmlns:a="http://schemas.openxmlformats.org/drawingml/2006/main">
              <a:graphicData uri="http://schemas.openxmlformats.org/drawingml/2006/picture">
                <pic:pic xmlns:pic="http://schemas.openxmlformats.org/drawingml/2006/picture">
                  <pic:nvPicPr>
                    <pic:cNvPr id="1069" name="Picture 3"/>
                    <pic:cNvPicPr/>
                  </pic:nvPicPr>
                  <pic:blipFill>
                    <a:blip r:embed="rId13" cstate="print"/>
                    <a:srcRect/>
                    <a:stretch>
                      <a:fillRect/>
                    </a:stretch>
                  </pic:blipFill>
                  <pic:spPr>
                    <a:xfrm>
                      <a:off x="0" y="0"/>
                      <a:ext cx="2259330" cy="2987040"/>
                    </a:xfrm>
                    <a:prstGeom prst="rect">
                      <a:avLst/>
                    </a:prstGeom>
                  </pic:spPr>
                </pic:pic>
              </a:graphicData>
            </a:graphic>
          </wp:inline>
        </w:drawing>
      </w:r>
    </w:p>
    <w:p>
      <w:pPr>
        <w:pStyle w:val="5"/>
        <w:widowControl w:val="0"/>
        <w:adjustRightInd w:val="0"/>
        <w:spacing w:before="0" w:beforeAutospacing="0" w:after="0" w:afterAutospacing="0"/>
        <w:ind w:firstLine="800" w:firstLineChars="250"/>
        <w:rPr>
          <w:rFonts w:ascii="黑体" w:hAnsi="黑体" w:eastAsia="黑体" w:cs="黑体"/>
          <w:snapToGrid w:val="0"/>
          <w:sz w:val="32"/>
          <w:szCs w:val="32"/>
        </w:rPr>
      </w:pPr>
      <w:r>
        <w:rPr>
          <w:rFonts w:hint="eastAsia" w:ascii="黑体" w:hAnsi="黑体" w:eastAsia="黑体" w:cs="黑体"/>
          <w:snapToGrid w:val="0"/>
          <w:sz w:val="32"/>
          <w:szCs w:val="32"/>
        </w:rPr>
        <w:t>十六、国家级或省部级科技计划项目（课题）</w:t>
      </w:r>
    </w:p>
    <w:p>
      <w:pPr>
        <w:pStyle w:val="5"/>
        <w:widowControl w:val="0"/>
        <w:spacing w:before="0" w:beforeAutospacing="0" w:after="0" w:afterAutospacing="0"/>
        <w:ind w:firstLine="640" w:firstLineChars="200"/>
        <w:jc w:val="both"/>
        <w:rPr>
          <w:rFonts w:ascii="Times New Roman" w:hAnsi="Times New Roman" w:eastAsia="仿宋_GB2312" w:cs="Times New Roman"/>
          <w:snapToGrid w:val="0"/>
          <w:sz w:val="32"/>
          <w:szCs w:val="32"/>
        </w:rPr>
      </w:pPr>
      <w:r>
        <w:rPr>
          <w:rFonts w:hint="eastAsia" w:ascii="Times New Roman" w:hAnsi="Times New Roman" w:eastAsia="仿宋_GB2312" w:cs="Times New Roman"/>
          <w:snapToGrid w:val="0"/>
          <w:sz w:val="32"/>
          <w:szCs w:val="32"/>
        </w:rPr>
        <w:t>《评价办法》所指的国家级或省部级科技计划项目（课题）是指在国家或各省、自治区、直辖市科技计划中安排，由单位承担并在一定时间周期内进行的科学技术研究开发及相关活动，以及旨在促进科技进步和创新发展的相关事项。企业应扫描上传</w:t>
      </w:r>
      <w:r>
        <w:rPr>
          <w:rFonts w:hint="eastAsia" w:ascii="黑体" w:hAnsi="黑体" w:eastAsia="黑体" w:cs="黑体"/>
          <w:snapToGrid w:val="0"/>
          <w:sz w:val="32"/>
          <w:szCs w:val="32"/>
        </w:rPr>
        <w:t>项目合同书</w:t>
      </w:r>
      <w:r>
        <w:rPr>
          <w:rFonts w:hint="eastAsia" w:ascii="Times New Roman" w:hAnsi="Times New Roman" w:eastAsia="仿宋_GB2312" w:cs="Times New Roman"/>
          <w:snapToGrid w:val="0"/>
          <w:sz w:val="32"/>
          <w:szCs w:val="32"/>
        </w:rPr>
        <w:t>等作为证明材料（原件扫描上传或复印件盖企业公章扫描上传）。</w:t>
      </w:r>
    </w:p>
    <w:p>
      <w:pPr>
        <w:pStyle w:val="5"/>
        <w:widowControl w:val="0"/>
        <w:adjustRightInd w:val="0"/>
        <w:spacing w:before="0" w:beforeAutospacing="0" w:after="0" w:afterAutospacing="0"/>
        <w:ind w:firstLine="640" w:firstLineChars="200"/>
        <w:rPr>
          <w:rFonts w:ascii="黑体" w:hAnsi="黑体" w:eastAsia="黑体" w:cs="黑体"/>
          <w:snapToGrid w:val="0"/>
          <w:sz w:val="32"/>
          <w:szCs w:val="32"/>
        </w:rPr>
      </w:pPr>
      <w:r>
        <w:rPr>
          <w:rFonts w:hint="eastAsia" w:ascii="黑体" w:hAnsi="黑体" w:eastAsia="黑体" w:cs="黑体"/>
          <w:snapToGrid w:val="0"/>
          <w:sz w:val="32"/>
          <w:szCs w:val="32"/>
        </w:rPr>
        <w:t>十七、企业评价上传提交的材料盖章</w:t>
      </w:r>
    </w:p>
    <w:p>
      <w:pPr>
        <w:pStyle w:val="5"/>
        <w:widowControl w:val="0"/>
        <w:spacing w:before="0" w:beforeAutospacing="0" w:after="0" w:afterAutospacing="0"/>
        <w:ind w:firstLine="640" w:firstLineChars="200"/>
        <w:rPr>
          <w:rFonts w:ascii="Times New Roman" w:hAnsi="Times New Roman" w:eastAsia="仿宋_GB2312" w:cs="Times New Roman"/>
          <w:snapToGrid w:val="0"/>
          <w:sz w:val="32"/>
          <w:szCs w:val="32"/>
        </w:rPr>
      </w:pPr>
      <w:r>
        <w:rPr>
          <w:rFonts w:ascii="Times New Roman" w:hAnsi="Times New Roman" w:eastAsia="仿宋_GB2312" w:cs="Times New Roman"/>
          <w:snapToGrid w:val="0"/>
          <w:sz w:val="32"/>
          <w:szCs w:val="32"/>
        </w:rPr>
        <w:t>《评价办法》要求企业评价上传提交的材料，除从所指定网站下载的</w:t>
      </w:r>
      <w:r>
        <w:rPr>
          <w:rFonts w:hint="eastAsia" w:ascii="Times New Roman" w:hAnsi="Times New Roman" w:eastAsia="仿宋_GB2312" w:cs="Times New Roman"/>
          <w:snapToGrid w:val="0"/>
          <w:sz w:val="32"/>
          <w:szCs w:val="32"/>
        </w:rPr>
        <w:t>PDF</w:t>
      </w:r>
      <w:r>
        <w:rPr>
          <w:rFonts w:ascii="Times New Roman" w:hAnsi="Times New Roman" w:eastAsia="仿宋_GB2312" w:cs="Times New Roman"/>
          <w:snapToGrid w:val="0"/>
          <w:sz w:val="32"/>
          <w:szCs w:val="32"/>
        </w:rPr>
        <w:t>格式文件可以直接上传</w:t>
      </w:r>
      <w:r>
        <w:rPr>
          <w:rFonts w:hint="eastAsia" w:ascii="Times New Roman" w:hAnsi="Times New Roman" w:eastAsia="仿宋_GB2312" w:cs="Times New Roman"/>
          <w:snapToGrid w:val="0"/>
          <w:sz w:val="32"/>
          <w:szCs w:val="32"/>
        </w:rPr>
        <w:t>到</w:t>
      </w:r>
      <w:r>
        <w:rPr>
          <w:rFonts w:hint="eastAsia" w:eastAsia="仿宋_GB2312"/>
          <w:snapToGrid w:val="0"/>
          <w:sz w:val="32"/>
          <w:szCs w:val="32"/>
        </w:rPr>
        <w:t>“评价系统”</w:t>
      </w:r>
      <w:r>
        <w:rPr>
          <w:rFonts w:ascii="Times New Roman" w:hAnsi="Times New Roman" w:eastAsia="仿宋_GB2312" w:cs="Times New Roman"/>
          <w:snapToGrid w:val="0"/>
          <w:sz w:val="32"/>
          <w:szCs w:val="32"/>
        </w:rPr>
        <w:t>外，其他佐证材料，原件直接彩色扫描上传（不需要盖企业公章），复印件等其他形式的材料均须盖公司公章（首页盖章加骑缝章）后，再彩色扫描上传。</w:t>
      </w:r>
    </w:p>
    <w:p>
      <w:pPr>
        <w:ind w:firstLine="640" w:firstLineChars="200"/>
        <w:rPr>
          <w:rFonts w:ascii="黑体" w:hAnsi="黑体" w:eastAsia="黑体" w:cs="黑体"/>
          <w:snapToGrid w:val="0"/>
          <w:kern w:val="0"/>
          <w:sz w:val="32"/>
          <w:szCs w:val="32"/>
        </w:rPr>
      </w:pPr>
      <w:r>
        <w:rPr>
          <w:rFonts w:hint="eastAsia" w:ascii="黑体" w:hAnsi="黑体" w:eastAsia="黑体" w:cs="黑体"/>
          <w:snapToGrid w:val="0"/>
          <w:sz w:val="32"/>
          <w:szCs w:val="32"/>
        </w:rPr>
        <w:t>十八、</w:t>
      </w:r>
      <w:r>
        <w:rPr>
          <w:rFonts w:hint="eastAsia" w:ascii="黑体" w:hAnsi="黑体" w:eastAsia="黑体" w:cs="黑体"/>
          <w:snapToGrid w:val="0"/>
          <w:kern w:val="0"/>
          <w:sz w:val="32"/>
          <w:szCs w:val="32"/>
        </w:rPr>
        <w:t>量化评分起止时间</w:t>
      </w:r>
    </w:p>
    <w:p>
      <w:pPr>
        <w:ind w:firstLine="640" w:firstLineChars="200"/>
        <w:rPr>
          <w:rFonts w:eastAsia="仿宋_GB2312"/>
          <w:snapToGrid w:val="0"/>
          <w:kern w:val="0"/>
          <w:sz w:val="32"/>
          <w:szCs w:val="32"/>
        </w:rPr>
      </w:pPr>
      <w:r>
        <w:rPr>
          <w:rFonts w:hint="eastAsia" w:eastAsia="仿宋_GB2312"/>
          <w:snapToGrid w:val="0"/>
          <w:kern w:val="0"/>
          <w:sz w:val="32"/>
          <w:szCs w:val="32"/>
        </w:rPr>
        <w:t>雏鹰企业量化评分起止时间为企业注册成立之日至申报评价当年。瞪羚企业量化评分起止时间为企业申报评价当年的前第八年（例如：若企业</w:t>
      </w:r>
      <w:r>
        <w:rPr>
          <w:rFonts w:eastAsia="仿宋_GB2312"/>
          <w:snapToGrid w:val="0"/>
          <w:kern w:val="0"/>
          <w:sz w:val="32"/>
          <w:szCs w:val="32"/>
        </w:rPr>
        <w:t>2019</w:t>
      </w:r>
      <w:r>
        <w:rPr>
          <w:rFonts w:hint="eastAsia" w:eastAsia="仿宋_GB2312"/>
          <w:snapToGrid w:val="0"/>
          <w:kern w:val="0"/>
          <w:sz w:val="32"/>
          <w:szCs w:val="32"/>
        </w:rPr>
        <w:t>年参与申报评价，则为</w:t>
      </w:r>
      <w:r>
        <w:rPr>
          <w:rFonts w:eastAsia="仿宋_GB2312"/>
          <w:snapToGrid w:val="0"/>
          <w:kern w:val="0"/>
          <w:sz w:val="32"/>
          <w:szCs w:val="32"/>
        </w:rPr>
        <w:t>2019-8=2011</w:t>
      </w:r>
      <w:r>
        <w:rPr>
          <w:rFonts w:hint="eastAsia" w:eastAsia="仿宋_GB2312"/>
          <w:snapToGrid w:val="0"/>
          <w:kern w:val="0"/>
          <w:sz w:val="32"/>
          <w:szCs w:val="32"/>
        </w:rPr>
        <w:t>年，以此类推）至申报评价当年。</w:t>
      </w:r>
    </w:p>
    <w:p>
      <w:pPr>
        <w:ind w:firstLine="640" w:firstLineChars="200"/>
        <w:rPr>
          <w:rFonts w:ascii="黑体" w:hAnsi="黑体" w:eastAsia="黑体" w:cs="黑体"/>
          <w:snapToGrid w:val="0"/>
          <w:kern w:val="0"/>
          <w:sz w:val="32"/>
          <w:szCs w:val="32"/>
        </w:rPr>
      </w:pPr>
      <w:r>
        <w:rPr>
          <w:rFonts w:hint="eastAsia" w:ascii="黑体" w:hAnsi="黑体" w:eastAsia="黑体" w:cs="黑体"/>
          <w:snapToGrid w:val="0"/>
          <w:sz w:val="32"/>
          <w:szCs w:val="32"/>
        </w:rPr>
        <w:t>十九、雏鹰企业</w:t>
      </w:r>
      <w:r>
        <w:rPr>
          <w:rFonts w:hint="eastAsia" w:ascii="黑体" w:hAnsi="黑体" w:eastAsia="黑体" w:cs="黑体"/>
          <w:snapToGrid w:val="0"/>
          <w:kern w:val="0"/>
          <w:sz w:val="32"/>
          <w:szCs w:val="32"/>
        </w:rPr>
        <w:t>评价审查说明</w:t>
      </w:r>
    </w:p>
    <w:p>
      <w:pPr>
        <w:ind w:firstLine="640" w:firstLineChars="200"/>
        <w:rPr>
          <w:rFonts w:eastAsia="仿宋_GB2312"/>
          <w:snapToGrid w:val="0"/>
          <w:kern w:val="0"/>
          <w:sz w:val="32"/>
          <w:szCs w:val="32"/>
        </w:rPr>
      </w:pPr>
      <w:r>
        <w:rPr>
          <w:rFonts w:hint="eastAsia" w:eastAsia="仿宋_GB2312"/>
          <w:snapToGrid w:val="0"/>
          <w:kern w:val="0"/>
          <w:sz w:val="32"/>
          <w:szCs w:val="32"/>
        </w:rPr>
        <w:t>1、当天津市雏鹰企业申报条件（一）（二）（三）中任意一条不满足，必须退回企业。</w:t>
      </w:r>
    </w:p>
    <w:p>
      <w:pPr>
        <w:ind w:firstLine="640" w:firstLineChars="200"/>
        <w:rPr>
          <w:rFonts w:eastAsia="仿宋_GB2312"/>
          <w:snapToGrid w:val="0"/>
          <w:kern w:val="0"/>
          <w:sz w:val="32"/>
          <w:szCs w:val="32"/>
        </w:rPr>
      </w:pPr>
      <w:r>
        <w:rPr>
          <w:rFonts w:hint="eastAsia" w:eastAsia="仿宋_GB2312"/>
          <w:snapToGrid w:val="0"/>
          <w:kern w:val="0"/>
          <w:sz w:val="32"/>
          <w:szCs w:val="32"/>
        </w:rPr>
        <w:t xml:space="preserve">2、当企业填写评价条件（四）1~9中的多条信息时，首先，将企业填写的多条信息分成评价项和量化评分项。 </w:t>
      </w:r>
    </w:p>
    <w:p>
      <w:pPr>
        <w:ind w:firstLine="640" w:firstLineChars="200"/>
        <w:rPr>
          <w:rFonts w:eastAsia="仿宋_GB2312"/>
          <w:snapToGrid w:val="0"/>
          <w:kern w:val="0"/>
          <w:sz w:val="32"/>
          <w:szCs w:val="32"/>
        </w:rPr>
      </w:pPr>
      <w:r>
        <w:rPr>
          <w:rFonts w:hint="eastAsia" w:eastAsia="仿宋_GB2312"/>
          <w:snapToGrid w:val="0"/>
          <w:kern w:val="0"/>
          <w:sz w:val="32"/>
          <w:szCs w:val="32"/>
        </w:rPr>
        <w:t>（1）先确定评价项，剩下的都是量化评分项。确定评价项的优先顺序是：高企、双软企业、知识产权、创新创业大赛获奖、科技计划项目、风险投资、研发机构、制定标准、科技奖励。</w:t>
      </w:r>
    </w:p>
    <w:p>
      <w:pPr>
        <w:ind w:firstLine="640" w:firstLineChars="200"/>
        <w:rPr>
          <w:rFonts w:eastAsia="仿宋_GB2312"/>
          <w:snapToGrid w:val="0"/>
          <w:kern w:val="0"/>
          <w:sz w:val="32"/>
          <w:szCs w:val="32"/>
        </w:rPr>
      </w:pPr>
      <w:r>
        <w:rPr>
          <w:rFonts w:hint="eastAsia" w:eastAsia="仿宋_GB2312"/>
          <w:snapToGrid w:val="0"/>
          <w:kern w:val="0"/>
          <w:sz w:val="32"/>
          <w:szCs w:val="32"/>
        </w:rPr>
        <w:t>（2）按照此顺序，第一个满足条件的信息就是评价项，企业通过评价。</w:t>
      </w:r>
    </w:p>
    <w:p>
      <w:pPr>
        <w:ind w:firstLine="640" w:firstLineChars="200"/>
        <w:rPr>
          <w:rFonts w:eastAsia="仿宋_GB2312"/>
          <w:snapToGrid w:val="0"/>
          <w:kern w:val="0"/>
          <w:sz w:val="32"/>
          <w:szCs w:val="32"/>
        </w:rPr>
      </w:pPr>
      <w:r>
        <w:rPr>
          <w:rFonts w:hint="eastAsia" w:eastAsia="仿宋_GB2312"/>
          <w:snapToGrid w:val="0"/>
          <w:kern w:val="0"/>
          <w:sz w:val="32"/>
          <w:szCs w:val="32"/>
        </w:rPr>
        <w:t>（3）剩下的信息都是量化评分项。审查人员开展量化评分审查，可以根据《办法》对不符合量化评分标准的评分进行调整，调整情况及理由写在反馈意见中，但不需要退回企业。</w:t>
      </w:r>
    </w:p>
    <w:p>
      <w:pPr>
        <w:ind w:firstLine="640" w:firstLineChars="200"/>
        <w:rPr>
          <w:rFonts w:eastAsia="仿宋_GB2312"/>
          <w:snapToGrid w:val="0"/>
          <w:kern w:val="0"/>
          <w:sz w:val="32"/>
          <w:szCs w:val="32"/>
        </w:rPr>
      </w:pPr>
      <w:r>
        <w:rPr>
          <w:rFonts w:hint="eastAsia" w:eastAsia="仿宋_GB2312"/>
          <w:snapToGrid w:val="0"/>
          <w:kern w:val="0"/>
          <w:sz w:val="32"/>
          <w:szCs w:val="32"/>
        </w:rPr>
        <w:t>（4）如果企业主动申请要求重新进行评分，可以根据企业申请，允许企业再重新评分一次，退回其评价信息，让企业重新进行评分。</w:t>
      </w:r>
    </w:p>
    <w:p>
      <w:pPr>
        <w:ind w:firstLine="640" w:firstLineChars="200"/>
        <w:rPr>
          <w:rFonts w:eastAsia="仿宋_GB2312"/>
          <w:snapToGrid w:val="0"/>
          <w:kern w:val="0"/>
          <w:sz w:val="32"/>
          <w:szCs w:val="32"/>
        </w:rPr>
      </w:pPr>
      <w:r>
        <w:rPr>
          <w:rFonts w:hint="eastAsia" w:eastAsia="仿宋_GB2312"/>
          <w:snapToGrid w:val="0"/>
          <w:kern w:val="0"/>
          <w:sz w:val="32"/>
          <w:szCs w:val="32"/>
        </w:rPr>
        <w:t>（5）如果企业不申请退回，企业的最终量化评分就根据审查结果进行计算，并打印在证书上。</w:t>
      </w:r>
    </w:p>
    <w:p>
      <w:pPr>
        <w:ind w:firstLine="640" w:firstLineChars="200"/>
        <w:rPr>
          <w:rFonts w:ascii="黑体" w:hAnsi="黑体" w:eastAsia="黑体" w:cs="黑体"/>
          <w:snapToGrid w:val="0"/>
          <w:kern w:val="0"/>
          <w:sz w:val="32"/>
          <w:szCs w:val="32"/>
        </w:rPr>
      </w:pPr>
      <w:r>
        <w:rPr>
          <w:rFonts w:hint="eastAsia" w:ascii="黑体" w:hAnsi="黑体" w:eastAsia="黑体" w:cs="黑体"/>
          <w:snapToGrid w:val="0"/>
          <w:sz w:val="32"/>
          <w:szCs w:val="32"/>
        </w:rPr>
        <w:t>二十、瞪羚企业</w:t>
      </w:r>
      <w:r>
        <w:rPr>
          <w:rFonts w:hint="eastAsia" w:ascii="黑体" w:hAnsi="黑体" w:eastAsia="黑体" w:cs="黑体"/>
          <w:snapToGrid w:val="0"/>
          <w:kern w:val="0"/>
          <w:sz w:val="32"/>
          <w:szCs w:val="32"/>
        </w:rPr>
        <w:t>评价审查说明</w:t>
      </w:r>
    </w:p>
    <w:p>
      <w:pPr>
        <w:ind w:firstLine="640" w:firstLineChars="200"/>
        <w:rPr>
          <w:rFonts w:eastAsia="仿宋_GB2312"/>
          <w:snapToGrid w:val="0"/>
          <w:kern w:val="0"/>
          <w:sz w:val="32"/>
          <w:szCs w:val="32"/>
        </w:rPr>
      </w:pPr>
      <w:r>
        <w:rPr>
          <w:rFonts w:hint="eastAsia" w:eastAsia="仿宋_GB2312"/>
          <w:snapToGrid w:val="0"/>
          <w:kern w:val="0"/>
          <w:sz w:val="32"/>
          <w:szCs w:val="32"/>
        </w:rPr>
        <w:t>1、当天津市瞪羚企业申报条件（一）（二）（四）中任意一条不满足，必须退回企业。</w:t>
      </w:r>
    </w:p>
    <w:p>
      <w:pPr>
        <w:ind w:firstLine="640" w:firstLineChars="200"/>
        <w:rPr>
          <w:rFonts w:eastAsia="仿宋_GB2312"/>
          <w:snapToGrid w:val="0"/>
          <w:kern w:val="0"/>
          <w:sz w:val="32"/>
          <w:szCs w:val="32"/>
        </w:rPr>
      </w:pPr>
      <w:r>
        <w:rPr>
          <w:rFonts w:hint="eastAsia" w:eastAsia="仿宋_GB2312"/>
          <w:snapToGrid w:val="0"/>
          <w:kern w:val="0"/>
          <w:sz w:val="32"/>
          <w:szCs w:val="32"/>
        </w:rPr>
        <w:t>2、如果企业填写了增长率条件（三）指标1~ 5中的多条信息，审查时，只要1条指标满足就可以通过，其他指标是否满足不用管，不需要退回企业。</w:t>
      </w:r>
    </w:p>
    <w:p>
      <w:pPr>
        <w:ind w:firstLine="640" w:firstLineChars="200"/>
        <w:rPr>
          <w:rFonts w:eastAsia="仿宋_GB2312"/>
          <w:snapToGrid w:val="0"/>
          <w:kern w:val="0"/>
          <w:sz w:val="32"/>
          <w:szCs w:val="32"/>
        </w:rPr>
      </w:pPr>
      <w:r>
        <w:rPr>
          <w:rFonts w:hint="eastAsia" w:eastAsia="仿宋_GB2312"/>
          <w:snapToGrid w:val="0"/>
          <w:kern w:val="0"/>
          <w:sz w:val="32"/>
          <w:szCs w:val="32"/>
        </w:rPr>
        <w:t>3、当企业选择了指标5时，如果指标1~4中有一条满足时，指标5就成了量化评分项，即使指标5不满足标准，只影响量化评分，不需要退回企业。如果指标1~4都没填写或不满足标准，指标5也不满足标准，则必须退回企业。</w:t>
      </w:r>
    </w:p>
    <w:p>
      <w:pPr>
        <w:ind w:firstLine="640" w:firstLineChars="200"/>
        <w:rPr>
          <w:rFonts w:eastAsia="仿宋_GB2312"/>
          <w:snapToGrid w:val="0"/>
          <w:kern w:val="0"/>
          <w:sz w:val="32"/>
          <w:szCs w:val="32"/>
        </w:rPr>
      </w:pPr>
      <w:r>
        <w:rPr>
          <w:rFonts w:hint="eastAsia" w:eastAsia="仿宋_GB2312"/>
          <w:snapToGrid w:val="0"/>
          <w:kern w:val="0"/>
          <w:sz w:val="32"/>
          <w:szCs w:val="32"/>
        </w:rPr>
        <w:t>4、最后，审查人员开展量化评分审查，可以根据《办法》对不符合量化评分标准的评分进行调整，调整情况及理由写在反馈意见中，但不需要退回企业。</w:t>
      </w:r>
    </w:p>
    <w:p>
      <w:pPr>
        <w:ind w:firstLine="640" w:firstLineChars="200"/>
        <w:rPr>
          <w:rFonts w:eastAsia="仿宋_GB2312"/>
          <w:snapToGrid w:val="0"/>
          <w:kern w:val="0"/>
          <w:sz w:val="32"/>
          <w:szCs w:val="32"/>
        </w:rPr>
      </w:pPr>
      <w:r>
        <w:rPr>
          <w:rFonts w:hint="eastAsia" w:eastAsia="仿宋_GB2312"/>
          <w:snapToGrid w:val="0"/>
          <w:kern w:val="0"/>
          <w:sz w:val="32"/>
          <w:szCs w:val="32"/>
        </w:rPr>
        <w:t>5、如果企业主动申请要求重新进行评分，可以根据企业申请，允许企业再重新评分一次，退回其评价信息，让企业重新进行评分。</w:t>
      </w:r>
    </w:p>
    <w:p>
      <w:pPr>
        <w:ind w:firstLine="640" w:firstLineChars="200"/>
        <w:rPr>
          <w:rFonts w:eastAsia="仿宋_GB2312"/>
          <w:snapToGrid w:val="0"/>
          <w:kern w:val="0"/>
          <w:sz w:val="32"/>
          <w:szCs w:val="32"/>
        </w:rPr>
      </w:pPr>
      <w:r>
        <w:rPr>
          <w:rFonts w:hint="eastAsia" w:eastAsia="仿宋_GB2312"/>
          <w:snapToGrid w:val="0"/>
          <w:kern w:val="0"/>
          <w:sz w:val="32"/>
          <w:szCs w:val="32"/>
        </w:rPr>
        <w:t>6、如果企业不申请退回，企业的最终量化评分就根据审查结果进行计算，并打印在证书上。</w:t>
      </w:r>
    </w:p>
    <w:p>
      <w:pPr>
        <w:ind w:firstLine="640" w:firstLineChars="200"/>
        <w:rPr>
          <w:rFonts w:eastAsia="仿宋_GB2312"/>
          <w:snapToGrid w:val="0"/>
          <w:kern w:val="0"/>
          <w:sz w:val="32"/>
          <w:szCs w:val="32"/>
        </w:rPr>
      </w:pPr>
    </w:p>
    <w:p>
      <w:pPr>
        <w:ind w:firstLine="640" w:firstLineChars="200"/>
        <w:rPr>
          <w:rFonts w:eastAsia="仿宋_GB2312"/>
          <w:snapToGrid w:val="0"/>
          <w:kern w:val="0"/>
          <w:sz w:val="32"/>
          <w:szCs w:val="32"/>
        </w:rPr>
      </w:pPr>
    </w:p>
    <w:p>
      <w:pPr>
        <w:ind w:firstLine="640" w:firstLineChars="200"/>
        <w:rPr>
          <w:rFonts w:eastAsia="仿宋_GB2312"/>
          <w:snapToGrid w:val="0"/>
          <w:kern w:val="0"/>
          <w:sz w:val="32"/>
          <w:szCs w:val="32"/>
        </w:rPr>
      </w:pPr>
    </w:p>
    <w:p>
      <w:pPr>
        <w:ind w:firstLine="640" w:firstLineChars="200"/>
        <w:rPr>
          <w:rFonts w:hint="eastAsia" w:eastAsia="仿宋_GB2312"/>
          <w:snapToGrid w:val="0"/>
          <w:kern w:val="0"/>
          <w:sz w:val="32"/>
          <w:szCs w:val="32"/>
        </w:rPr>
      </w:pPr>
    </w:p>
    <w:p>
      <w:pPr>
        <w:ind w:firstLine="640" w:firstLineChars="200"/>
        <w:rPr>
          <w:rFonts w:hint="eastAsia" w:eastAsia="仿宋_GB2312"/>
          <w:snapToGrid w:val="0"/>
          <w:kern w:val="0"/>
          <w:sz w:val="32"/>
          <w:szCs w:val="32"/>
        </w:rPr>
      </w:pPr>
    </w:p>
    <w:p>
      <w:pPr>
        <w:ind w:firstLine="640" w:firstLineChars="200"/>
        <w:rPr>
          <w:rFonts w:hint="eastAsia" w:eastAsia="仿宋_GB2312"/>
          <w:snapToGrid w:val="0"/>
          <w:kern w:val="0"/>
          <w:sz w:val="32"/>
          <w:szCs w:val="32"/>
        </w:rPr>
      </w:pPr>
    </w:p>
    <w:p>
      <w:pPr>
        <w:ind w:firstLine="640" w:firstLineChars="200"/>
        <w:rPr>
          <w:rFonts w:hint="eastAsia" w:eastAsia="仿宋_GB2312"/>
          <w:snapToGrid w:val="0"/>
          <w:kern w:val="0"/>
          <w:sz w:val="32"/>
          <w:szCs w:val="32"/>
        </w:rPr>
      </w:pPr>
    </w:p>
    <w:p>
      <w:pPr>
        <w:ind w:firstLine="640" w:firstLineChars="200"/>
        <w:rPr>
          <w:rFonts w:hint="eastAsia" w:eastAsia="仿宋_GB2312"/>
          <w:snapToGrid w:val="0"/>
          <w:kern w:val="0"/>
          <w:sz w:val="32"/>
          <w:szCs w:val="32"/>
        </w:rPr>
      </w:pPr>
    </w:p>
    <w:p>
      <w:pPr>
        <w:ind w:firstLine="640" w:firstLineChars="200"/>
        <w:rPr>
          <w:rFonts w:hint="eastAsia" w:eastAsia="仿宋_GB2312"/>
          <w:snapToGrid w:val="0"/>
          <w:kern w:val="0"/>
          <w:sz w:val="32"/>
          <w:szCs w:val="32"/>
        </w:rPr>
      </w:pPr>
    </w:p>
    <w:p>
      <w:pPr>
        <w:jc w:val="left"/>
        <w:rPr>
          <w:rFonts w:ascii="黑体" w:hAnsi="黑体" w:eastAsia="黑体" w:cs="黑体"/>
          <w:snapToGrid w:val="0"/>
          <w:kern w:val="0"/>
          <w:sz w:val="32"/>
          <w:szCs w:val="32"/>
        </w:rPr>
      </w:pPr>
    </w:p>
    <w:p>
      <w:pPr>
        <w:jc w:val="left"/>
        <w:rPr>
          <w:rFonts w:ascii="黑体" w:hAnsi="黑体" w:eastAsia="黑体" w:cs="黑体"/>
          <w:snapToGrid w:val="0"/>
          <w:kern w:val="0"/>
          <w:sz w:val="32"/>
          <w:szCs w:val="32"/>
        </w:rPr>
      </w:pPr>
      <w:r>
        <w:rPr>
          <w:rFonts w:hint="eastAsia" w:ascii="黑体" w:hAnsi="黑体" w:eastAsia="黑体" w:cs="黑体"/>
          <w:snapToGrid w:val="0"/>
          <w:kern w:val="0"/>
          <w:sz w:val="32"/>
          <w:szCs w:val="32"/>
        </w:rPr>
        <w:t>附件</w:t>
      </w:r>
    </w:p>
    <w:p>
      <w:pPr>
        <w:snapToGrid w:val="0"/>
        <w:spacing w:line="680" w:lineRule="exact"/>
        <w:jc w:val="center"/>
        <w:rPr>
          <w:rFonts w:ascii="方正小标宋简体" w:hAnsi="方正小标宋简体" w:eastAsia="方正小标宋简体" w:cs="方正小标宋简体"/>
          <w:snapToGrid w:val="0"/>
          <w:sz w:val="44"/>
          <w:szCs w:val="44"/>
        </w:rPr>
      </w:pPr>
      <w:r>
        <w:rPr>
          <w:rFonts w:hint="eastAsia" w:ascii="方正小标宋简体" w:hAnsi="方正小标宋简体" w:eastAsia="方正小标宋简体" w:cs="方正小标宋简体"/>
          <w:snapToGrid w:val="0"/>
          <w:sz w:val="44"/>
          <w:szCs w:val="44"/>
        </w:rPr>
        <w:t>在国家科学技术奖励工作办公室</w:t>
      </w:r>
    </w:p>
    <w:p>
      <w:pPr>
        <w:snapToGrid w:val="0"/>
        <w:spacing w:line="680" w:lineRule="exact"/>
        <w:jc w:val="center"/>
        <w:rPr>
          <w:rFonts w:ascii="方正小标宋简体" w:hAnsi="方正小标宋简体" w:eastAsia="方正小标宋简体" w:cs="方正小标宋简体"/>
          <w:color w:val="000000"/>
          <w:sz w:val="44"/>
          <w:szCs w:val="44"/>
          <w:shd w:val="clear" w:color="auto" w:fill="FFFFFF"/>
        </w:rPr>
      </w:pPr>
      <w:r>
        <w:rPr>
          <w:rFonts w:hint="eastAsia" w:ascii="方正小标宋简体" w:hAnsi="方正小标宋简体" w:eastAsia="方正小标宋简体" w:cs="方正小标宋简体"/>
          <w:snapToGrid w:val="0"/>
          <w:sz w:val="44"/>
          <w:szCs w:val="44"/>
        </w:rPr>
        <w:t>备案的</w:t>
      </w:r>
      <w:r>
        <w:rPr>
          <w:rFonts w:hint="eastAsia" w:ascii="方正小标宋简体" w:hAnsi="方正小标宋简体" w:eastAsia="方正小标宋简体" w:cs="方正小标宋简体"/>
          <w:color w:val="000000"/>
          <w:sz w:val="44"/>
          <w:szCs w:val="44"/>
          <w:shd w:val="clear" w:color="auto" w:fill="FFFFFF"/>
        </w:rPr>
        <w:t>社会科技奖励目录</w:t>
      </w:r>
    </w:p>
    <w:tbl>
      <w:tblPr>
        <w:tblStyle w:val="19"/>
        <w:tblW w:w="9917" w:type="dxa"/>
        <w:jc w:val="center"/>
        <w:tblInd w:w="6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
        <w:gridCol w:w="777"/>
        <w:gridCol w:w="2538"/>
        <w:gridCol w:w="2801"/>
        <w:gridCol w:w="2059"/>
        <w:gridCol w:w="1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b/>
                <w:bCs/>
                <w:color w:val="000000"/>
                <w:kern w:val="0"/>
              </w:rPr>
              <w:t>序号</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b/>
                <w:bCs/>
                <w:color w:val="000000"/>
                <w:kern w:val="0"/>
              </w:rPr>
              <w:t>奖励编号</w:t>
            </w:r>
          </w:p>
        </w:tc>
        <w:tc>
          <w:tcPr>
            <w:tcW w:w="2538" w:type="dxa"/>
            <w:tcBorders>
              <w:tl2br w:val="nil"/>
              <w:tr2bl w:val="nil"/>
            </w:tcBorders>
            <w:shd w:val="clear" w:color="auto" w:fill="FFFFFF"/>
            <w:vAlign w:val="center"/>
          </w:tcPr>
          <w:p>
            <w:pPr>
              <w:widowControl/>
              <w:spacing w:line="309" w:lineRule="atLeast"/>
              <w:jc w:val="center"/>
              <w:rPr>
                <w:color w:val="000000"/>
                <w:kern w:val="0"/>
                <w:szCs w:val="21"/>
              </w:rPr>
            </w:pPr>
            <w:r>
              <w:rPr>
                <w:b/>
                <w:bCs/>
                <w:color w:val="000000"/>
                <w:kern w:val="0"/>
              </w:rPr>
              <w:t>奖励名称</w:t>
            </w:r>
          </w:p>
        </w:tc>
        <w:tc>
          <w:tcPr>
            <w:tcW w:w="2801" w:type="dxa"/>
            <w:tcBorders>
              <w:tl2br w:val="nil"/>
              <w:tr2bl w:val="nil"/>
            </w:tcBorders>
            <w:shd w:val="clear" w:color="auto" w:fill="FFFFFF"/>
            <w:vAlign w:val="center"/>
          </w:tcPr>
          <w:p>
            <w:pPr>
              <w:widowControl/>
              <w:spacing w:line="309" w:lineRule="atLeast"/>
              <w:jc w:val="center"/>
              <w:rPr>
                <w:color w:val="000000"/>
                <w:kern w:val="0"/>
                <w:szCs w:val="21"/>
              </w:rPr>
            </w:pPr>
            <w:r>
              <w:rPr>
                <w:b/>
                <w:bCs/>
                <w:color w:val="000000"/>
                <w:kern w:val="0"/>
              </w:rPr>
              <w:t>设奖人</w:t>
            </w:r>
          </w:p>
        </w:tc>
        <w:tc>
          <w:tcPr>
            <w:tcW w:w="2059" w:type="dxa"/>
            <w:tcBorders>
              <w:tl2br w:val="nil"/>
              <w:tr2bl w:val="nil"/>
            </w:tcBorders>
            <w:shd w:val="clear" w:color="auto" w:fill="FFFFFF"/>
            <w:vAlign w:val="center"/>
          </w:tcPr>
          <w:p>
            <w:pPr>
              <w:widowControl/>
              <w:spacing w:line="309" w:lineRule="atLeast"/>
              <w:jc w:val="center"/>
              <w:rPr>
                <w:color w:val="000000"/>
                <w:kern w:val="0"/>
                <w:szCs w:val="21"/>
              </w:rPr>
            </w:pPr>
            <w:r>
              <w:rPr>
                <w:b/>
                <w:bCs/>
                <w:color w:val="000000"/>
                <w:kern w:val="0"/>
              </w:rPr>
              <w:t>承办人</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b/>
                <w:bCs/>
                <w:color w:val="000000"/>
                <w:kern w:val="0"/>
              </w:rPr>
              <w:t>设奖时间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0001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中国汽车工业科学技术进步奖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中国汽车工程学会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中国汽车工程学会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0002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何梁何利科学与技术奖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何梁何利基金</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何梁何利基金评选委员会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0006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李四光地质科学奖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李四光地质科学奖基金会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李四光地质科学奖基金会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0007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中华医学科技奖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中华医学会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中华医学会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0008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詹天佑铁道科学技术奖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詹天佑科学技术发展基金会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詹天佑科学技术发展基金会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0009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孙越崎能源科学技术奖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孙越崎科技教育基金委员会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孙越崎科技教育基金委员会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中国药学发展奖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北京长江药学发展基金会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北京长江药学发展基金会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中国金属学会冶金医学奖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中国金属学会冶金安全与健康分会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侯德榜化工科学技术奖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中国化工学会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中国化工学会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詹天佑土木工程科学技术奖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中国土木工程学会、北京詹天佑土木工程科学技术发展基金会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中国土木工程学会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中国仪器仪表学会科学技术奖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中国仪器仪表学会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中国仪器仪表学会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中国煤炭学会青年科学技术奖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中国煤炭学会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中国煤炭学会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中国电工技术学会科学技术奖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中国电工技术学会、正泰公益基金会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中国电工技术学会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0019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高士其科普奖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中国科普研究所高士其基金</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中国科协青少年科技中心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03"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神内基金农技推广奖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中华农业科教基金会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中华农业科教基金会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机工程学会、国家电网公司、中国南方电网有限责任公司、中国华能集团公司、中国大唐集团公司、中国华电集团公司、中国国电集团公司、国家电力投资集团公司、中国长江三峡集团公司、中国电力建设集团有限公司、中国能源建设集团有限公司、中国广核集团有限公司、北京国华电力有限责任公司、神华国能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中国电机工程学会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茅以升科学技术奖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北京茅以升科技教育基金会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北京茅以升科技教育基金会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中国机械工程学会科技奖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中国机械工业联合会、中国机械工程学会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中国有色金属工业科学技术奖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中国有色金属工业协会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中国有色金属工业技术开发交流中心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邓稼先、于敏科学技术奖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邓稼先、于敏科学技术奖基金管理委员会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中国工程物理研究院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2001年3月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毕昇印刷技术奖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中国印刷技术协会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中国印刷技术协会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侯德封矿物岩石地球化学青年科学家奖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中国矿物岩石地球化学学会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中国矿物岩石地球化学学会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0029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王大珩光学奖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王大珩</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中国光学学会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中国兵工学会科学技术奖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中国兵工学会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中国兵工学会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中国昆虫学会青年科学技术奖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中国昆虫学会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中国昆虫学会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中国分析测试协会科学技术奖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中国分析测试协会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中国分析测试协会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中国石化集团科学技术进步奖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中国石油化工集团公司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中国石油化工集团公司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中创软件人才奖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山东中创软件工程股份有限公司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山东省应用软件工程技术研究中心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中冶集团科学技术奖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中国冶金科工集团有限公司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中国冶金科工集团有限公司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光华工程科技奖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朱光亚、尹衍樑、陈由豪、杜俊元</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中国工程院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0039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胡刚复、饶毓泰、叶企孙、吴有训、王淦昌物理奖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中国物理学会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中国物理学会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大禹水利科学技术奖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中国水利学会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中国水利学会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中国铁道学会科学技术奖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中国铁道学会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中国铁道学会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中国商业联合会科学技术奖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中国商业联合会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中国商业联合会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中国钢铁工业协会、中国金属学会冶金科学技术奖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中国钢铁工业协会、中国金属学会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中国钢铁工业协会、中国金属学会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中国公路学会科学技术奖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中国公路学会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中国公路学会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中国航海学会科学技术奖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中国航海学会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中国航海学会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39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中国黄金协会科学技术奖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中国黄金协会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中国黄金协会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中华中医药学会科学技术奖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中华中医药学会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中华中医药学会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0049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中国石油和化学工业联合会科学技术奖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中国石油和化学工业联合会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中国石油和化学工业联合会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宋庆龄少年儿童发明奖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中国宋庆龄基金会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中国宋庆龄基金会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吴阶平-保罗·杨森医学药学奖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西安杨森制药有限公司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卫健委国际交流与合作中心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全国生物制药信息中心、中科医药行业生产力促进中心有限公司医药科学技术奖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全国生物制药信息中心、中科医药行业生产力促进中心有限公司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中科医药行业生产力促进中心有限公司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中国电子学会科学技术奖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中国电子学会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中国电子学会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中国职业安全健康协会科学技术奖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中国职业安全健康协会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中国职业安全健康协会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中国建筑材料工业联合会、中国硅酸盐学会建筑材料科学技术奖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中国建筑材料联合会、中国硅酸盐学会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中国建筑材料联合会、中国硅酸盐学会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49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中国技术市场协会金桥奖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中国技术市场协会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中国技术市场协会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中国煤炭工业协会科学技术奖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中国煤炭工业协会、中国煤炭学会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中国煤炭工业协会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中国航空运输协会科学技术奖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中国航空运输协会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中国航空运输协会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0059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中国物流与采购联合会科学技术奖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中国物流与采购联合会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中国物流与采购联合会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中国通信学会科学技术奖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中国通信学会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中国通信学会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科技馆发展奖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中国科技馆发展基金会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中国科技馆发展基金会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华罗庚数学奖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中国数学会、湖南教育出版社</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中国数学会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陈省身数学奖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中国数学会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中国数学会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黎鳌烧伤医学奖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黎鳌烧伤医学基金委员会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陆军军医大学第一附属医院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蔡诗东等离子体物理奖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59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周培源力学奖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周培源物理奖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周培源基金会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0069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王天眷波谱学奖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王天眷基金会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中国科学院武汉物理与数学研究所</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钱宁泥沙科学技术奖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国际泥沙研究培训中心</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国际泥沙研究培训中心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赵九章优秀中青年科学奖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“赵九章优秀中青年科学奖”理事会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中国科学院空间科学与应用研究中心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中国造船工程学会科学技术奖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中国造船工程学会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中国造船工程学会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中国电影电视技术学会科学技术奖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中国电影电视技术学会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中国电影电视技术学会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中国土地学会、中国地质学会、中国地质矿产经济学会国土资源科学技术奖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中国土地学会、中国地质学会、中国地质矿产经济学会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国土资源部信息中心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中国测绘学会科学技术奖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中国测绘学会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中国测绘学会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欧维姆预应力工程设计奖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北京詹天佑土木工程科学技术发展基金会欧维姆预应力技术发展专项基金管理委员会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柳州欧维姆机械股份有限公司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0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69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华夏建设科学技术奖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中国建设科技集团股份有限公司、中国建筑科学研究院、中国城市规划设计研究院、中联重科股份有限公司、住房和城乡建设部科技发展促进中心</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住房和城乡建设部科技发展促进中心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0079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中建集团科学技术奖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中国建筑集团有限公司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中国民营科技促进会民营科技发展贡献奖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中国民营科技促进会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中国民营科技促进会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2002年10月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陈嘉庚科学奖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陈嘉庚科学奖基金会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陈嘉庚科学奖基金会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中国生产力促进中心协会生产力促进奖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中国生产力促进中心协会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中国生产力促进中心协会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全国总工会职工技术成果奖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全国总工会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全国总工会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青藏高原青年科技奖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中国青藏高原研究会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中国青藏高原研究会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中国石油天然气集团公司科学技术奖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中国石油天然气集团公司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中国石油天然气集团公司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中国海洋石油总公司科学技术奖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中国海洋石油总公司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中国海洋石油总公司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中国邮政集团公司科学技术奖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中国邮政集团公司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中国邮政集团公司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79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0089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中国环境科学学会环境保护科学技术奖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中国环境科学学会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中国环境科学学会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中国创造学会创造成果奖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中国创造学会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中国创造学会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中国金属学会冶金医学奖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中国金属学会冶金安全与健康分会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中国纺织工业协会科学技术奖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中国纺织工业联合会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中国纺织工业联合会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中国制冷学会科学技术奖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中国制冷学会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中国制冷学会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王选新闻科学技术奖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中国新闻工作者联合会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中国新闻工作者联合会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中国体育科学学会科学技术奖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中国体育科学学会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中国体育科学学会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中国冶金矿山企业协会科学技术奖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中国冶金矿山企业协会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中国冶金矿山企业协会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0098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中国膜工业协会科学技术奖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中国膜工业协会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中国膜工业协会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099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中国防腐蚀技术协会科学技术奖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中国防腐蚀技术协会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中国防腐蚀技术协会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89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中国爆破行业协会科学技术奖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中国爆破行业协会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中国爆破行业协会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浪潮高性能计算创新奖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浪潮电子信息产业股份有限公司/863计划主题专家组</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高效能服务器和存储技术国家重点实验室</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2003年9月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中国中西医结合学会科学技术奖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中国中西医结合学会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中国中西医结合学会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中国机械工业集团科学技术奖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中国机械工业集团有限公司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中国机械工业集团有限公司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梁希科学技术奖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中国林学会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中国林学会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491"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94</w:t>
            </w:r>
          </w:p>
        </w:tc>
        <w:tc>
          <w:tcPr>
            <w:tcW w:w="777"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0105</w:t>
            </w:r>
          </w:p>
        </w:tc>
        <w:tc>
          <w:tcPr>
            <w:tcW w:w="2538" w:type="dxa"/>
            <w:vMerge w:val="restart"/>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包装行业科学技术奖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中国包装联合会</w:t>
            </w:r>
          </w:p>
        </w:tc>
        <w:tc>
          <w:tcPr>
            <w:tcW w:w="2059" w:type="dxa"/>
            <w:vMerge w:val="restart"/>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中国包装有限责任公司</w:t>
            </w:r>
          </w:p>
        </w:tc>
        <w:tc>
          <w:tcPr>
            <w:tcW w:w="1251"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vMerge w:val="continue"/>
            <w:tcBorders>
              <w:tl2br w:val="nil"/>
              <w:tr2bl w:val="nil"/>
            </w:tcBorders>
            <w:vAlign w:val="center"/>
          </w:tcPr>
          <w:p>
            <w:pPr>
              <w:widowControl/>
              <w:jc w:val="center"/>
              <w:rPr>
                <w:color w:val="000000"/>
                <w:kern w:val="0"/>
                <w:szCs w:val="21"/>
              </w:rPr>
            </w:pPr>
          </w:p>
        </w:tc>
        <w:tc>
          <w:tcPr>
            <w:tcW w:w="777" w:type="dxa"/>
            <w:vMerge w:val="continue"/>
            <w:tcBorders>
              <w:tl2br w:val="nil"/>
              <w:tr2bl w:val="nil"/>
            </w:tcBorders>
            <w:vAlign w:val="center"/>
          </w:tcPr>
          <w:p>
            <w:pPr>
              <w:widowControl/>
              <w:jc w:val="center"/>
              <w:rPr>
                <w:color w:val="000000"/>
                <w:kern w:val="0"/>
                <w:szCs w:val="21"/>
              </w:rPr>
            </w:pPr>
          </w:p>
        </w:tc>
        <w:tc>
          <w:tcPr>
            <w:tcW w:w="2538" w:type="dxa"/>
            <w:vMerge w:val="continue"/>
            <w:tcBorders>
              <w:tl2br w:val="nil"/>
              <w:tr2bl w:val="nil"/>
            </w:tcBorders>
            <w:vAlign w:val="center"/>
          </w:tcPr>
          <w:p>
            <w:pPr>
              <w:widowControl/>
              <w:jc w:val="left"/>
              <w:rPr>
                <w:color w:val="000000"/>
                <w:kern w:val="0"/>
                <w:szCs w:val="21"/>
              </w:rPr>
            </w:pP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中国包装有限责任公司</w:t>
            </w:r>
          </w:p>
        </w:tc>
        <w:tc>
          <w:tcPr>
            <w:tcW w:w="2059" w:type="dxa"/>
            <w:vMerge w:val="continue"/>
            <w:tcBorders>
              <w:tl2br w:val="nil"/>
              <w:tr2bl w:val="nil"/>
            </w:tcBorders>
            <w:vAlign w:val="center"/>
          </w:tcPr>
          <w:p>
            <w:pPr>
              <w:widowControl/>
              <w:jc w:val="left"/>
              <w:rPr>
                <w:color w:val="000000"/>
                <w:kern w:val="0"/>
                <w:szCs w:val="21"/>
              </w:rPr>
            </w:pPr>
          </w:p>
        </w:tc>
        <w:tc>
          <w:tcPr>
            <w:tcW w:w="1251" w:type="dxa"/>
            <w:vMerge w:val="continue"/>
            <w:tcBorders>
              <w:tl2br w:val="nil"/>
              <w:tr2bl w:val="nil"/>
            </w:tcBorders>
            <w:vAlign w:val="center"/>
          </w:tcPr>
          <w:p>
            <w:pPr>
              <w:widowControl/>
              <w:jc w:val="center"/>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中国营养学会科学技术奖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中国营养学会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中国营养学会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CSIAM苏步青应用数学奖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中国工业与应用数学学会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中国工业与应用数学学会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中国科技咨询协会咨询项目创新奖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中国科技咨询协会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中国科技咨询协会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0109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石油和化工自动化行业科学技术奖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中国石油和化工自动化应用协会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中国石油和化工自动化应用协会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99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中国中医科学院唐氏中药发展奖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中国中医科学院</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中国中医科学院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中国铁路工程总公司科学技术奖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中国铁路工程总公司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中国铁路工程总公司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中国粮油学会科学技术奖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中国粮油学会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中国粮油学会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中国体视学学会科学技术奖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中国体视学学会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中国体视学学会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中国质量协会质量技术奖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中国质量协会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中国质量协会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97"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李时珍医药创新奖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中华中医药学会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中华中医药学会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钟家庆数学奖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中国数学会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中国数学会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0119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中国通信标准化协会科学技术奖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中国通信标准化协会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中国通信标准化协会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0120</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中铁建科学技术奖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中国铁建股份有限公司</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中国铁建股份有限公司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中国土壤学会科学技术奖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中国土壤学会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中国土壤学会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109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中医药国际贡献奖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世界中医药学会联合会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世界中医药学会联合会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发明创业奖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中国发明协会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中国发明协会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黄昆固体物理和半导体物理科学研究奖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黄昆</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中国科学院半导体研究所</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中国化学会青年化学奖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钱伟长中文信息处理科学技术奖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中国中文信息学会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中国中文信息学会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中照照明奖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中国照明学会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中国照明学会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中国防伪行业协会防伪科学技术奖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中国防伪行业协会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中国防伪行业协会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0129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中国药学会科学技术奖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段镇基皮革和制鞋行业科学技术奖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中国皮革与制鞋工业研究院等</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皮革和制鞋行业生产力促进中心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中国计算机学会王选奖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中国计算机学会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中国计算机学会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119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中国气象学会涂长望青年气象科技奖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中国材料研究学会科学技术奖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中国材料研究学会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中国材料研究学会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中国岩石力学与工程学会科学技术奖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中国岩石力学与工程学会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中国岩石力学与工程学会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中国轻工业联合会科学技术奖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中国轻工业联合会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中国轻工业联合会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中国化工集团科学技术奖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中国化工集团有限公司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中国化工集团有限公司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0138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中国腐蚀与防护学会科学技术奖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中国腐蚀与防护学会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中国腐蚀与防护学会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2005年10月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神农中华农业科技奖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冯康科学计算奖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冯康科学计算奖评奖委员会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中国科学院数学与系统科学研究院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中国针灸学会科学技术奖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中国针灸学会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中国针灸学会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中国作物学会作物科学技术成就奖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129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华夏高科技产业创新奖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中国华夏高科技产业创新奖基金会、中国华夏高科技产业创新基金会、深圳市禾田居投资有限公司、北京星网联亿科学技术研究院</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北京星网联亿科学技术研究院、华夏高科技产业创新奖办公室</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中国管理科学学会管理科学奖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中国管理科学学会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中国管理科学学会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大北农科技奖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北京大北农科技集团股份有限公司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北京大北农科技集团股份有限公司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0149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淮海科学技术奖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淮海经济区（苏、鲁、豫、皖）20个城市科学技术协会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江苏省徐州市科学技术协会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中国食品科学技术学会科技创新奖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中国食品科学技术学会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中国食品科学技术学会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134</w:t>
            </w:r>
          </w:p>
        </w:tc>
        <w:tc>
          <w:tcPr>
            <w:tcW w:w="777"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0151</w:t>
            </w:r>
          </w:p>
        </w:tc>
        <w:tc>
          <w:tcPr>
            <w:tcW w:w="2538" w:type="dxa"/>
            <w:vMerge w:val="restart"/>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中国证券业协会证券期货科技进步奖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中国证券业协会</w:t>
            </w:r>
          </w:p>
        </w:tc>
        <w:tc>
          <w:tcPr>
            <w:tcW w:w="2059" w:type="dxa"/>
            <w:vMerge w:val="restart"/>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中国证券投资基金业协会</w:t>
            </w:r>
          </w:p>
        </w:tc>
        <w:tc>
          <w:tcPr>
            <w:tcW w:w="1251"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vMerge w:val="continue"/>
            <w:tcBorders>
              <w:tl2br w:val="nil"/>
              <w:tr2bl w:val="nil"/>
            </w:tcBorders>
            <w:vAlign w:val="center"/>
          </w:tcPr>
          <w:p>
            <w:pPr>
              <w:widowControl/>
              <w:jc w:val="center"/>
              <w:rPr>
                <w:color w:val="000000"/>
                <w:kern w:val="0"/>
                <w:szCs w:val="21"/>
              </w:rPr>
            </w:pPr>
          </w:p>
        </w:tc>
        <w:tc>
          <w:tcPr>
            <w:tcW w:w="777" w:type="dxa"/>
            <w:vMerge w:val="continue"/>
            <w:tcBorders>
              <w:tl2br w:val="nil"/>
              <w:tr2bl w:val="nil"/>
            </w:tcBorders>
            <w:vAlign w:val="center"/>
          </w:tcPr>
          <w:p>
            <w:pPr>
              <w:widowControl/>
              <w:jc w:val="center"/>
              <w:rPr>
                <w:color w:val="000000"/>
                <w:kern w:val="0"/>
                <w:szCs w:val="21"/>
              </w:rPr>
            </w:pPr>
          </w:p>
        </w:tc>
        <w:tc>
          <w:tcPr>
            <w:tcW w:w="2538" w:type="dxa"/>
            <w:vMerge w:val="continue"/>
            <w:tcBorders>
              <w:tl2br w:val="nil"/>
              <w:tr2bl w:val="nil"/>
            </w:tcBorders>
            <w:vAlign w:val="center"/>
          </w:tcPr>
          <w:p>
            <w:pPr>
              <w:widowControl/>
              <w:jc w:val="left"/>
              <w:rPr>
                <w:color w:val="000000"/>
                <w:kern w:val="0"/>
                <w:szCs w:val="21"/>
              </w:rPr>
            </w:pP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中国期货业协会</w:t>
            </w:r>
          </w:p>
        </w:tc>
        <w:tc>
          <w:tcPr>
            <w:tcW w:w="2059" w:type="dxa"/>
            <w:vMerge w:val="continue"/>
            <w:tcBorders>
              <w:tl2br w:val="nil"/>
              <w:tr2bl w:val="nil"/>
            </w:tcBorders>
            <w:vAlign w:val="center"/>
          </w:tcPr>
          <w:p>
            <w:pPr>
              <w:widowControl/>
              <w:jc w:val="left"/>
              <w:rPr>
                <w:color w:val="000000"/>
                <w:kern w:val="0"/>
                <w:szCs w:val="21"/>
              </w:rPr>
            </w:pPr>
          </w:p>
        </w:tc>
        <w:tc>
          <w:tcPr>
            <w:tcW w:w="1251" w:type="dxa"/>
            <w:vMerge w:val="continue"/>
            <w:tcBorders>
              <w:tl2br w:val="nil"/>
              <w:tr2bl w:val="nil"/>
            </w:tcBorders>
            <w:vAlign w:val="center"/>
          </w:tcPr>
          <w:p>
            <w:pPr>
              <w:widowControl/>
              <w:jc w:val="center"/>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vMerge w:val="continue"/>
            <w:tcBorders>
              <w:tl2br w:val="nil"/>
              <w:tr2bl w:val="nil"/>
            </w:tcBorders>
            <w:vAlign w:val="center"/>
          </w:tcPr>
          <w:p>
            <w:pPr>
              <w:widowControl/>
              <w:jc w:val="center"/>
              <w:rPr>
                <w:color w:val="000000"/>
                <w:kern w:val="0"/>
                <w:szCs w:val="21"/>
              </w:rPr>
            </w:pPr>
          </w:p>
        </w:tc>
        <w:tc>
          <w:tcPr>
            <w:tcW w:w="777" w:type="dxa"/>
            <w:vMerge w:val="continue"/>
            <w:tcBorders>
              <w:tl2br w:val="nil"/>
              <w:tr2bl w:val="nil"/>
            </w:tcBorders>
            <w:vAlign w:val="center"/>
          </w:tcPr>
          <w:p>
            <w:pPr>
              <w:widowControl/>
              <w:jc w:val="center"/>
              <w:rPr>
                <w:color w:val="000000"/>
                <w:kern w:val="0"/>
                <w:szCs w:val="21"/>
              </w:rPr>
            </w:pPr>
          </w:p>
        </w:tc>
        <w:tc>
          <w:tcPr>
            <w:tcW w:w="2538" w:type="dxa"/>
            <w:vMerge w:val="continue"/>
            <w:tcBorders>
              <w:tl2br w:val="nil"/>
              <w:tr2bl w:val="nil"/>
            </w:tcBorders>
            <w:vAlign w:val="center"/>
          </w:tcPr>
          <w:p>
            <w:pPr>
              <w:widowControl/>
              <w:jc w:val="left"/>
              <w:rPr>
                <w:color w:val="000000"/>
                <w:kern w:val="0"/>
                <w:szCs w:val="21"/>
              </w:rPr>
            </w:pP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中国证券投资基金业协会</w:t>
            </w:r>
          </w:p>
        </w:tc>
        <w:tc>
          <w:tcPr>
            <w:tcW w:w="2059" w:type="dxa"/>
            <w:vMerge w:val="continue"/>
            <w:tcBorders>
              <w:tl2br w:val="nil"/>
              <w:tr2bl w:val="nil"/>
            </w:tcBorders>
            <w:vAlign w:val="center"/>
          </w:tcPr>
          <w:p>
            <w:pPr>
              <w:widowControl/>
              <w:jc w:val="left"/>
              <w:rPr>
                <w:color w:val="000000"/>
                <w:kern w:val="0"/>
                <w:szCs w:val="21"/>
              </w:rPr>
            </w:pPr>
          </w:p>
        </w:tc>
        <w:tc>
          <w:tcPr>
            <w:tcW w:w="1251" w:type="dxa"/>
            <w:vMerge w:val="continue"/>
            <w:tcBorders>
              <w:tl2br w:val="nil"/>
              <w:tr2bl w:val="nil"/>
            </w:tcBorders>
            <w:vAlign w:val="center"/>
          </w:tcPr>
          <w:p>
            <w:pPr>
              <w:widowControl/>
              <w:jc w:val="center"/>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中国商业联合会服务业科技创新奖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中国商业联合会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中国商业联合会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工程建设科学技术奖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中国施工企业管理协会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中国施工企业管理协会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中华预防医学会科技学术奖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中华预防医学会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中华预防医学会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中国抗癌协会科技奖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中国抗癌协会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中国抗癌协会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139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中国爆破器材行业协会科学技术奖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中国爆破器材行业协会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中国爆破器材行业协会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中国广播电视设备工业协会科学技术奖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中国广播电视设备工业协会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中国广播电视设备工业协会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0159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中国水土保持学会科学技术奖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中国水土保持学会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中国水土保持学会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中国港口协会科学技术奖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中国港口协会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中国港口协会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药明康德生命化学研究奖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上海药明康德新药开发有限公司、天津药明康德新药开发有限公司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药明康德新药开发有限公司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2006年10月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宋庆龄儿科医学奖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中国宋庆龄基金会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首都儿科研究所</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中国钢结构协会科学技术奖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中国钢结构协会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中国钢结构协会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恩欧希教育信息化发明创新奖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《中国信息技术教育》杂志社有限公司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《中国信息技术教育》杂志社有限公司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中国青年女科学家奖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中华全国妇女联合会等</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中国科协</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中国航空学会科学技术奖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中国航空学会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中国航空学会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149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中国水产学会范蠡科学技术奖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中国水产学会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中国水产学会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中国颗粒学会青年颗粒学奖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中国颗粒学会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中国颗粒学会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0169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中国植物保护学会科学技术奖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中国植物保护学会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中国植物保护学会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中国烟草总公司科学技术奖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中国烟草总公司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中国烟草总公司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中央企业青年创新奖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共青团中央企业工作委员会、中央企业青年联合会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中国企业联合会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2007年8月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中国运筹学会科学技术奖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中国运筹学会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中国运筹学会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中国茶叶学会科学技术奖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中国茶叶学会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中国茶叶学会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华夏医疗保健国际交流促进科技奖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中国医疗保健国际交流促进会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中国医疗保健国际交流促进会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邹竞蒙气象科技人才奖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中国科普作家协会优秀科普作品奖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中国科普作家协会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中国科普作家协会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159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中国农药工业协会创新贡献奖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中国农药工业协会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中国农药工业协会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0179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中国消防协会科学技术创新奖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中国消防协会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中国消防协会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中国电子视像行业协会科技创新奖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中国电子视像行业协会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中国电子视像行业协会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中信铌钢科技发展奖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中信微合金化技术中心</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中信金属有限公司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夏坚白测绘事业创业与科技创新奖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武汉大学</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武汉大学</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中国女医师协会五洲女子科技奖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中国女医师协会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中国女医师协会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谈家桢生命科学奖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联合基因科技有限公司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上海市生物医药行业协会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中国水运建设行业协会科学技术奖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中国水运建设行业协会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中国水运建设行业协会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曾呈奎海洋科技奖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中国湖沼学会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中国科学院海洋研究所</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中国实验动物学会科学技术奖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中国实验动物学会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中国实验动物学会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169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刘光鼎地球物理科学奖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北京市刘光鼎地球物理科学基金会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北京市刘光鼎地球物理科学基金会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0189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中国科学技术法学会科技法学奖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中国科学技术法学会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中国科学技术法学会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中华全国工商业联合会科学技术奖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中华全国工商业联合会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中华全国工商业联合会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中国产学研合作促进会产学研合作创新与促进奖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中国产学研合作促进会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中国产学研合作促进会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周光召奖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周光召基金会有限公司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周光召基金会有限公司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2"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中华护理学会科技奖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中华护理学会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中华护理学会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中国技术创业协会科技创业贡献奖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中国技术创业协会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中国技术创业协会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6"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中国大坝协会科学技术奖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中国大坝工程协会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中国大坝工程协会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6"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精瑞科学技术奖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北京精瑞人居发展基金会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北京精瑞人居发展基金会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中国医院协会医院科技创新奖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中国医院协会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《中国医院》杂志社</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179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中国农业资源与区划学会科学技术奖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中国农业资源与区划学会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中国农业资源与区划学会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0199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中国建筑材料流通协会科学技术奖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中国建筑材料流通协会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中国建筑材料流通协会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杨嘉墀科技奖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中国自动化学会、中国宇航学会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杨嘉墀科技奖办公室</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水力发电科学技术奖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中国水力发电工程学会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中国水力发电工程学会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183</w:t>
            </w:r>
          </w:p>
        </w:tc>
        <w:tc>
          <w:tcPr>
            <w:tcW w:w="777"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中国循环经济协会科学技术奖</w:t>
            </w:r>
          </w:p>
        </w:tc>
        <w:tc>
          <w:tcPr>
            <w:tcW w:w="2801" w:type="dxa"/>
            <w:vMerge w:val="restart"/>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中国循环经济协会</w:t>
            </w:r>
          </w:p>
        </w:tc>
        <w:tc>
          <w:tcPr>
            <w:tcW w:w="2059" w:type="dxa"/>
            <w:vMerge w:val="restart"/>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中国循环经济协会</w:t>
            </w:r>
          </w:p>
        </w:tc>
        <w:tc>
          <w:tcPr>
            <w:tcW w:w="1251" w:type="dxa"/>
            <w:vMerge w:val="restart"/>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vMerge w:val="continue"/>
            <w:tcBorders>
              <w:tl2br w:val="nil"/>
              <w:tr2bl w:val="nil"/>
            </w:tcBorders>
            <w:vAlign w:val="center"/>
          </w:tcPr>
          <w:p>
            <w:pPr>
              <w:widowControl/>
              <w:jc w:val="center"/>
              <w:rPr>
                <w:color w:val="000000"/>
                <w:kern w:val="0"/>
                <w:szCs w:val="21"/>
              </w:rPr>
            </w:pPr>
          </w:p>
        </w:tc>
        <w:tc>
          <w:tcPr>
            <w:tcW w:w="777" w:type="dxa"/>
            <w:vMerge w:val="continue"/>
            <w:tcBorders>
              <w:tl2br w:val="nil"/>
              <w:tr2bl w:val="nil"/>
            </w:tcBorders>
            <w:vAlign w:val="center"/>
          </w:tcPr>
          <w:p>
            <w:pPr>
              <w:widowControl/>
              <w:jc w:val="center"/>
              <w:rPr>
                <w:color w:val="000000"/>
                <w:kern w:val="0"/>
                <w:szCs w:val="21"/>
              </w:rPr>
            </w:pP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（原中国资源综合利用协会科学技术奖）</w:t>
            </w:r>
          </w:p>
        </w:tc>
        <w:tc>
          <w:tcPr>
            <w:tcW w:w="2801" w:type="dxa"/>
            <w:vMerge w:val="continue"/>
            <w:tcBorders>
              <w:tl2br w:val="nil"/>
              <w:tr2bl w:val="nil"/>
            </w:tcBorders>
            <w:vAlign w:val="center"/>
          </w:tcPr>
          <w:p>
            <w:pPr>
              <w:widowControl/>
              <w:jc w:val="left"/>
              <w:rPr>
                <w:color w:val="000000"/>
                <w:kern w:val="0"/>
                <w:szCs w:val="21"/>
              </w:rPr>
            </w:pPr>
          </w:p>
        </w:tc>
        <w:tc>
          <w:tcPr>
            <w:tcW w:w="2059" w:type="dxa"/>
            <w:vMerge w:val="continue"/>
            <w:tcBorders>
              <w:tl2br w:val="nil"/>
              <w:tr2bl w:val="nil"/>
            </w:tcBorders>
            <w:vAlign w:val="center"/>
          </w:tcPr>
          <w:p>
            <w:pPr>
              <w:widowControl/>
              <w:jc w:val="left"/>
              <w:rPr>
                <w:color w:val="000000"/>
                <w:kern w:val="0"/>
                <w:szCs w:val="21"/>
              </w:rPr>
            </w:pPr>
          </w:p>
        </w:tc>
        <w:tc>
          <w:tcPr>
            <w:tcW w:w="1251" w:type="dxa"/>
            <w:vMerge w:val="continue"/>
            <w:tcBorders>
              <w:tl2br w:val="nil"/>
              <w:tr2bl w:val="nil"/>
            </w:tcBorders>
            <w:vAlign w:val="center"/>
          </w:tcPr>
          <w:p>
            <w:pPr>
              <w:widowControl/>
              <w:jc w:val="center"/>
              <w:rPr>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地理信息科学技术奖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中国地理信息产业协会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中国地理信息产业协会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中餐科技进步奖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中国烹饪协会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中国烹饪协会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李善邦青年优秀地震科技论文奖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中国地震学会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中国地震学会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农业节水科技奖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中国农业节水和农村供水技术协会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中国农业节水和农村供水技术协会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中国珠宝玉石首饰行业协会科学技术奖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中国珠宝玉石首饰行业协会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中国珠宝玉石首饰行业协会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2009年12月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189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中国城市发展研究会促进城市发展科技奖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中国城市发展研究会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中国城市发展研究会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0209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吴阶平医学奖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吴阶平医学基金会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吴阶平医学基金会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中国安装协会科学技术进步奖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中国安装协会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中国安装协会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草业科学技术奖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中国草学会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中国草学会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卫星导航定位科学技术奖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中国卫星导航定位协会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中国卫星导航定位协会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中国质量评价协会科技创新奖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中国质量评价协会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北京企业评价协会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中国核能行业协会科学技术奖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核能行业协会，中国核工业集团有限公司，中国广核电力股份有限公司，国家核电技术有限公司，中国华能集团有限公司，中国大唐集团有限公司，中国核工业建设集团有限公司，上海电气（集团）总公司，哈尔滨电气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中国核能行业协会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中国金属学会冶金青年科技奖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中国金属学会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2010年7月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中国免疫学会学术奖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中国免疫学会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中国免疫学会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驼人医疗器械科技创新奖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驼人控股集团有限公司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河南驼人医学史博物馆</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199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吴文俊人工智能科学技术奖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中国人工智能学会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中国人工智能学会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0219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中国可再生能源学会科学技术奖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中国可再生能源学会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中国可再生能源学会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中国电源学会科学技术奖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中国电源学会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中国电源学会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中国海洋工程咨询协会海洋工程科学技术奖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中国海洋工程咨询协会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中国海洋工程咨询协会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创新方法研究会创新方法成就奖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创新方法研究会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创新方法研究会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光华龙腾设计创新奖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北京光华设计发展基金会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北京光华设计发展基金会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中国特种设备检验协会科学技术</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中国特种设备检验协会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中国特种设备检验协会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中国智能交通协会科学技术奖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中国智能交通协会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中国智能交通协会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中国酒业协会科学技术奖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中国酒业协会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中国酒业协会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中国地球物理学会科学技术奖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中国地球物理学会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中国地球物理学会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0229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中华国际科学交流基金会杰出工程师奖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中华国际科学交流基金会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中华国际科学交流基金会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2011年10月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陈嘉庚青年科学奖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陈嘉庚科学奖基金会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陈嘉庚科学奖基金会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吴孟超医学奖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上海市吴孟超医学科技基金会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上海市吴孟超医学科技基金会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海洋科学技术奖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中国海洋学会、中国太平洋学会、中国海洋湖沼学会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中国海洋学会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华耐园艺科技奖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中国园艺学会、北京华耐农业发展有限公司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中国园艺学会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中国计量测试学会科学技术进步奖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中国计量测试学会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中国计量测试学会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中华口腔医学会科技奖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中华口腔医学会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中华口腔医学会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密码创新奖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中国密码学会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中国密码学会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中国电力建设企业协会科学技术进步奖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中国电力建设企业协会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中国电力建设企业协会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219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树兰医学奖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浙江大学教育基金会树森·兰娟院士人才基金会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中华医学会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0239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闵恩泽能源化工奖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闵恩泽能源化工基金</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中国工程院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中国节能协会创新奖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中国节能协会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中国节能协会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建华工程奖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建华建材（中国）有限公司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北京建华建材技术研究院有限公司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能源科学技术奖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中国信息协会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中国信息协会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中国医药教育协会科学技术奖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中国医药教育协会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中国医药教育协会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2013年12月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詹天佑土木工程科学技术奖优秀住宅小区金奖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中国土木工程学会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中国土木工程学会住宅工程指导工作委员会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新型城镇化科技奖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城乡统筹发展研究中心</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城乡统筹发展研究中心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中国毒理学会科技奖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中国毒理学会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中国毒理学会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0249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中国出生缺陷干预救助基金会科学技术奖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中国出生缺陷干预救助基金会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中国出生缺陷干预救助基金会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229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中国民族医药学会学术著作奖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AVS产业技术创新奖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中关村视听产业技术创新联盟</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中关村视听产业技术创新联盟</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中国乳制品工业协会科学技术奖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中国乳制品工业协会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中国乳制品工业协会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金融科技治理与研究成果奖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银行业信息科技风险管理高层指导委员会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中国银行业监督管理委员会信息中心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妇幼健康科技奖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妇幼健康研究会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妇幼健康研究会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中国科技产业化促进会科学技术奖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中国科技产业化促进会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中国科技产业化促进会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2014年12月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8"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中国建筑材料集团有限公司科学技术奖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中国建筑材料集团有限公司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中国建筑材料集团有限公司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0257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大众创新科学技术奖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中关村自主品牌创新发展协会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中关村自主品牌创新发展协会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中国检验检疫学会科技奖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中国检验检疫学会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中国检验检疫学会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电力工程科学技术进步奖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中国电力规划设计协会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中国电力规划设计协会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239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中国安全生产协会安全科技进步奖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中国安全生产协会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中国安全生产协会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中国石油工程建设协会科学技术奖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中国石油工程建设协会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中国石油工程建设协会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绿色矿山科学技术奖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中关村绿色矿山产业联盟</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中关村绿色矿山产业联盟</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中国中医药研究促进会科技进步奖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中国中医药研究促进会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中国中医药研究促进会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2015年12月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24"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中国建筑工业出版社建筑科技图书奖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中国建筑工业出版社</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中国建筑工业出版社</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2016年9月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中国气象学会大气科学基础研究成果奖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0269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中国气象学会气象科学技术进步奖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中国气象学会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中华护理学会“杰出护理工作者”</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中华护理学会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中华护理学会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中国印刷及设备器材工业协会科学技术奖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中国印刷及设备器材工业协会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中国印刷及设备器材工业协会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天圣铜人针灸科技杰出贡献奖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世针堂（北京）中医科技有限公司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世针堂（北京）中医科技有限公司</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249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中源协和生命医学奖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中源协和细胞基因工程股份有限公司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中国科学院大学存济医学院</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数据中心科技成果奖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中数智慧（北京）信息技术研究院有限公司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中国工程建设标准化协会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中国民族医药学会科学技术奖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中国民族医药学会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长城食品安全科学技术奖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中国食品报社</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中国食品报社</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2017年10月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中华国际科学交流基金会工程科技人才贡献奖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中华国际科学交流基金会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中华国际科学交流基金会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建筑防水行业科学技术奖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中国建筑防水协会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中国建筑防水协会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0279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中国作物学会优秀博士论文奖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王连铮大豆青年科教奖励基金</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中国作物学会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水库大坝国际里程碑工程奖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中国大坝工程协会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中国大坝工程协会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麒麟科学技术奖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北京科技人才研究会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北京科技人才研究会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259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好设计</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中国创新设计产业战略联盟</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中国机械工程学会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2017年12月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260</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0284</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中国表面工程协会科学技术奖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中国表面工程协会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中国表面工程协会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261</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0285</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中国能源研究会创新奖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中国能源研究会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中国能源研究会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262</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0286</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邮政行业科学技术奖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中国快递业协会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中国快递业协会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6"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263</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0287</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中国交通运输协会科学技术奖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中国交通运输协会</w:t>
            </w:r>
          </w:p>
          <w:p>
            <w:pPr>
              <w:widowControl/>
              <w:spacing w:line="309" w:lineRule="atLeast"/>
              <w:jc w:val="left"/>
              <w:rPr>
                <w:color w:val="000000"/>
                <w:kern w:val="0"/>
                <w:szCs w:val="21"/>
              </w:rPr>
            </w:pPr>
            <w:r>
              <w:rPr>
                <w:color w:val="000000"/>
                <w:kern w:val="0"/>
                <w:szCs w:val="21"/>
              </w:rPr>
              <w:t>中交协联交通科学研究院（北京）有限公司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中国交通运输协会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264</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0288</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中国整形美容协会科学技术奖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中国整形美容协会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中国整形美容协会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265</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0289</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中国防痨协会科学技术奖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中国防痨协会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中国防痨协会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2018年3月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5"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266</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0290</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电力创新奖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中国电力企业联合会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中国电力企业联合会科技开发服务中心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87"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267</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0291</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农业机械科学技术奖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中国农业机械工业协会</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中国农业机械工业协会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56"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268</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0292</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标准科技创新奖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中国工程建设标准化协会</w:t>
            </w:r>
          </w:p>
          <w:p>
            <w:pPr>
              <w:widowControl/>
              <w:spacing w:line="309" w:lineRule="atLeast"/>
              <w:jc w:val="left"/>
              <w:rPr>
                <w:color w:val="000000"/>
                <w:kern w:val="0"/>
                <w:szCs w:val="21"/>
              </w:rPr>
            </w:pPr>
            <w:r>
              <w:rPr>
                <w:color w:val="000000"/>
                <w:kern w:val="0"/>
                <w:szCs w:val="21"/>
              </w:rPr>
              <w:t>中国建筑标准设计研究院有限公司</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中国工程建设标准化协会</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269</w:t>
            </w:r>
          </w:p>
        </w:tc>
        <w:tc>
          <w:tcPr>
            <w:tcW w:w="777"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0293</w:t>
            </w:r>
          </w:p>
        </w:tc>
        <w:tc>
          <w:tcPr>
            <w:tcW w:w="2538"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未来科学大奖</w:t>
            </w:r>
          </w:p>
        </w:tc>
        <w:tc>
          <w:tcPr>
            <w:tcW w:w="2801"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北京怀柔未来论坛科技发展中心</w:t>
            </w:r>
          </w:p>
        </w:tc>
        <w:tc>
          <w:tcPr>
            <w:tcW w:w="2059" w:type="dxa"/>
            <w:tcBorders>
              <w:tl2br w:val="nil"/>
              <w:tr2bl w:val="nil"/>
            </w:tcBorders>
            <w:shd w:val="clear" w:color="auto" w:fill="FFFFFF"/>
            <w:vAlign w:val="center"/>
          </w:tcPr>
          <w:p>
            <w:pPr>
              <w:widowControl/>
              <w:spacing w:line="309" w:lineRule="atLeast"/>
              <w:jc w:val="left"/>
              <w:rPr>
                <w:color w:val="000000"/>
                <w:kern w:val="0"/>
                <w:szCs w:val="21"/>
              </w:rPr>
            </w:pPr>
            <w:r>
              <w:rPr>
                <w:color w:val="000000"/>
                <w:kern w:val="0"/>
                <w:szCs w:val="21"/>
              </w:rPr>
              <w:t>北京怀柔未来论坛科技发展中心</w:t>
            </w:r>
          </w:p>
        </w:tc>
        <w:tc>
          <w:tcPr>
            <w:tcW w:w="125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2018年6月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270</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0294</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中国土工合成材料工程协会科学技术奖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中国土工合成材料工程协会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中国土工合成材料工程协会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2018年6月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271</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0295</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中国生物材料学会科学技术奖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中国生物材料学会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中国生物材料学会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272</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0296</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中国风景园林学会科学技术奖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中国风景园林学会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中国风景园林学会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273</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0297</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中国建筑学会科技进步奖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中国建筑学会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中国建筑学会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274</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0298</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中国国际大数据产业博览会领先科技成果奖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中国国际大数据产业博览会组委会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贵阳生产力促进中心</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275</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0299</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环境技术进步奖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中国环境保护产业协会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中国环境保护产业协会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2018年8月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276</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0300</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锅炉科学技术奖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中国锅炉与锅炉水处理协会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中国锅炉与锅炉水处理协会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277</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0301</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非金属矿科学技术奖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中国非金属矿工业协会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中国非金属矿工业协会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2018年9月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278</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0302</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中国农学会青年科技奖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中国农学会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中国农学会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279</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0303</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中国航天基金会奖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中国航天基金会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中国航天基金会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280</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0304</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中国空间科学学会科技奖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中国空间科学学会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中国空间科学学会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281</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0305</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情报科学奖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中国科学技术情报学会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中国科学技术情报学会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282</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0306</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中国硅酸盐学会青年科技奖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中国硅酸盐学会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中国硅酸盐学会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283</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0307</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中国硅酸盐学会优秀博士学位论文奖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中国硅酸盐学会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中国硅酸盐学会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284</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0308</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卫志明青年创新奖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中国植物生理与植物分子生物学学会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中国植物生理与植物分子生物学学会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285</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0309</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光生物学杰出贡献奖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中国植物生理与植物分子生物学学会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中国植物生理与植物分子生物学学会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2018年12月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286</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0310</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中国振动工程学会科学技术奖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中国振动工程学会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中国振动工程学会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287</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0311</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稀土科学技术奖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中国稀土学会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中国稀土行业协会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288</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0312</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中国稀土学会杰出工程师奖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中国稀土学会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中国稀土学会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289</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0313</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建筑装饰行业科学技术奖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中国建筑装饰协会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中国建筑装饰协会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290</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0314</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中国城市轨道交通协会科技进步奖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中国城市轨道交通协会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中国城市轨道交通协会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291</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0315</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科学探索奖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腾讯公益慈善基金会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腾讯公益慈善基金会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292</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0316</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吴征镒植物学奖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云南吴征镒科学基金会、中国植物学会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云南吴征镒科学基金会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293</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0317</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中国细胞生物学学会创新奖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中国细胞生物学学会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中国细胞生物学学会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294</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0318</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中国仿真学会科学技术奖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中国仿真学会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中国仿真学会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295</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0319</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云计算中心科技奖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北京领智信通节能技术研究院</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中国电子节能技术协会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296</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0320</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绿色共享与循环利用贡献奖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中国旧货行业协会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中国旧货行业协会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297</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0321</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中国城市规划学会科技奖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中国城市规划学会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中国城市规划学会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0" w:hRule="atLeast"/>
          <w:jc w:val="center"/>
        </w:trPr>
        <w:tc>
          <w:tcPr>
            <w:tcW w:w="491" w:type="dxa"/>
            <w:tcBorders>
              <w:tl2br w:val="nil"/>
              <w:tr2bl w:val="nil"/>
            </w:tcBorders>
            <w:shd w:val="clear" w:color="auto" w:fill="FFFFFF"/>
            <w:vAlign w:val="center"/>
          </w:tcPr>
          <w:p>
            <w:pPr>
              <w:widowControl/>
              <w:spacing w:line="309" w:lineRule="atLeast"/>
              <w:jc w:val="center"/>
              <w:rPr>
                <w:color w:val="000000"/>
                <w:kern w:val="0"/>
                <w:szCs w:val="21"/>
              </w:rPr>
            </w:pPr>
            <w:r>
              <w:rPr>
                <w:color w:val="000000"/>
                <w:kern w:val="0"/>
                <w:szCs w:val="21"/>
              </w:rPr>
              <w:t>298</w:t>
            </w:r>
          </w:p>
        </w:tc>
        <w:tc>
          <w:tcPr>
            <w:tcW w:w="777"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0322</w:t>
            </w:r>
          </w:p>
        </w:tc>
        <w:tc>
          <w:tcPr>
            <w:tcW w:w="2538"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中国公路建设行业协会科学技术奖</w:t>
            </w:r>
          </w:p>
        </w:tc>
        <w:tc>
          <w:tcPr>
            <w:tcW w:w="2801"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中国公路建设行业协会</w:t>
            </w:r>
          </w:p>
        </w:tc>
        <w:tc>
          <w:tcPr>
            <w:tcW w:w="2059" w:type="dxa"/>
            <w:tcBorders>
              <w:tl2br w:val="nil"/>
              <w:tr2bl w:val="nil"/>
            </w:tcBorders>
            <w:shd w:val="clear" w:color="auto" w:fill="auto"/>
            <w:vAlign w:val="center"/>
          </w:tcPr>
          <w:p>
            <w:pPr>
              <w:widowControl/>
              <w:spacing w:line="309" w:lineRule="atLeast"/>
              <w:jc w:val="left"/>
              <w:rPr>
                <w:color w:val="000000"/>
                <w:kern w:val="0"/>
                <w:szCs w:val="21"/>
              </w:rPr>
            </w:pPr>
            <w:r>
              <w:rPr>
                <w:color w:val="000000"/>
                <w:kern w:val="0"/>
                <w:sz w:val="20"/>
                <w:szCs w:val="20"/>
              </w:rPr>
              <w:t>中国公路建设行业协会</w:t>
            </w:r>
          </w:p>
        </w:tc>
        <w:tc>
          <w:tcPr>
            <w:tcW w:w="1251" w:type="dxa"/>
            <w:tcBorders>
              <w:tl2br w:val="nil"/>
              <w:tr2bl w:val="nil"/>
            </w:tcBorders>
            <w:shd w:val="clear" w:color="auto" w:fill="auto"/>
            <w:vAlign w:val="center"/>
          </w:tcPr>
          <w:p>
            <w:pPr>
              <w:widowControl/>
              <w:spacing w:line="309" w:lineRule="atLeast"/>
              <w:jc w:val="center"/>
              <w:rPr>
                <w:color w:val="000000"/>
                <w:kern w:val="0"/>
                <w:szCs w:val="21"/>
              </w:rPr>
            </w:pPr>
            <w:r>
              <w:rPr>
                <w:color w:val="000000"/>
                <w:kern w:val="0"/>
                <w:sz w:val="20"/>
                <w:szCs w:val="20"/>
              </w:rPr>
              <w:t>2019年1月</w:t>
            </w:r>
          </w:p>
        </w:tc>
      </w:tr>
    </w:tbl>
    <w:p>
      <w:pPr>
        <w:ind w:firstLine="640" w:firstLineChars="200"/>
        <w:rPr>
          <w:rFonts w:eastAsia="仿宋_GB2312"/>
          <w:snapToGrid w:val="0"/>
          <w:kern w:val="0"/>
          <w:sz w:val="32"/>
          <w:szCs w:val="32"/>
        </w:rPr>
      </w:pPr>
    </w:p>
    <w:sectPr>
      <w:footerReference r:id="rId3" w:type="default"/>
      <w:pgSz w:w="11906" w:h="16838"/>
      <w:pgMar w:top="1440" w:right="1633" w:bottom="1440" w:left="163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楷体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529790"/>
      <w:docPartObj>
        <w:docPartGallery w:val="autotext"/>
      </w:docPartObj>
    </w:sdtPr>
    <w:sdtEndPr>
      <w:rPr>
        <w:sz w:val="28"/>
        <w:szCs w:val="28"/>
      </w:rPr>
    </w:sdtEndPr>
    <w:sdtContent>
      <w:p>
        <w:pPr>
          <w:pStyle w:val="3"/>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20</w:t>
        </w:r>
        <w:r>
          <w:rPr>
            <w:sz w:val="28"/>
            <w:szCs w:val="28"/>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D03B7"/>
    <w:multiLevelType w:val="singleLevel"/>
    <w:tmpl w:val="4F9D03B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1E5"/>
    <w:rsid w:val="00032D84"/>
    <w:rsid w:val="00037A44"/>
    <w:rsid w:val="00041B02"/>
    <w:rsid w:val="0007751A"/>
    <w:rsid w:val="00085BE5"/>
    <w:rsid w:val="00144715"/>
    <w:rsid w:val="0018057A"/>
    <w:rsid w:val="001A1ADC"/>
    <w:rsid w:val="002C6D93"/>
    <w:rsid w:val="00380781"/>
    <w:rsid w:val="003D3009"/>
    <w:rsid w:val="003F6E2F"/>
    <w:rsid w:val="0041694D"/>
    <w:rsid w:val="004B2D51"/>
    <w:rsid w:val="004C4684"/>
    <w:rsid w:val="005C7ADC"/>
    <w:rsid w:val="005D5568"/>
    <w:rsid w:val="00641FA0"/>
    <w:rsid w:val="006C07CB"/>
    <w:rsid w:val="006F1BBF"/>
    <w:rsid w:val="00753F34"/>
    <w:rsid w:val="00796F97"/>
    <w:rsid w:val="0085452E"/>
    <w:rsid w:val="00892140"/>
    <w:rsid w:val="008965F6"/>
    <w:rsid w:val="008C61E5"/>
    <w:rsid w:val="009370A7"/>
    <w:rsid w:val="00954555"/>
    <w:rsid w:val="00972967"/>
    <w:rsid w:val="009A405F"/>
    <w:rsid w:val="00AA7BC9"/>
    <w:rsid w:val="00AF0726"/>
    <w:rsid w:val="00B220E9"/>
    <w:rsid w:val="00B85517"/>
    <w:rsid w:val="00CB1EAF"/>
    <w:rsid w:val="00CB67BD"/>
    <w:rsid w:val="00CD07B7"/>
    <w:rsid w:val="00CF1829"/>
    <w:rsid w:val="00D52B9E"/>
    <w:rsid w:val="00DA50F9"/>
    <w:rsid w:val="00E23C24"/>
    <w:rsid w:val="00E7201E"/>
    <w:rsid w:val="00EE29B1"/>
    <w:rsid w:val="00EF7DC1"/>
    <w:rsid w:val="00F2795C"/>
    <w:rsid w:val="00F647AD"/>
    <w:rsid w:val="00FA30B6"/>
    <w:rsid w:val="00FC6083"/>
    <w:rsid w:val="01976757"/>
    <w:rsid w:val="02067B10"/>
    <w:rsid w:val="032F20F9"/>
    <w:rsid w:val="0A1646E5"/>
    <w:rsid w:val="0C3245B0"/>
    <w:rsid w:val="0C3877C4"/>
    <w:rsid w:val="0C9B7E50"/>
    <w:rsid w:val="11906794"/>
    <w:rsid w:val="124809AD"/>
    <w:rsid w:val="12E61FCE"/>
    <w:rsid w:val="15E5727D"/>
    <w:rsid w:val="161462AE"/>
    <w:rsid w:val="16AC0AFB"/>
    <w:rsid w:val="1E457E8F"/>
    <w:rsid w:val="1F2B3015"/>
    <w:rsid w:val="20740E98"/>
    <w:rsid w:val="21667762"/>
    <w:rsid w:val="228A2085"/>
    <w:rsid w:val="22B32363"/>
    <w:rsid w:val="25023BA5"/>
    <w:rsid w:val="27771FC2"/>
    <w:rsid w:val="27BA25D1"/>
    <w:rsid w:val="28D34283"/>
    <w:rsid w:val="29A63334"/>
    <w:rsid w:val="2C6C7D25"/>
    <w:rsid w:val="2CF562F5"/>
    <w:rsid w:val="2D9B5074"/>
    <w:rsid w:val="2ECD7F22"/>
    <w:rsid w:val="2F4738BE"/>
    <w:rsid w:val="31576BE2"/>
    <w:rsid w:val="33780807"/>
    <w:rsid w:val="33B15C69"/>
    <w:rsid w:val="34512C86"/>
    <w:rsid w:val="353A16B2"/>
    <w:rsid w:val="385B79F5"/>
    <w:rsid w:val="3887175E"/>
    <w:rsid w:val="3A5768FD"/>
    <w:rsid w:val="3D194AD7"/>
    <w:rsid w:val="3DA86D6C"/>
    <w:rsid w:val="3DFB7560"/>
    <w:rsid w:val="3E8F6679"/>
    <w:rsid w:val="3F5F5C24"/>
    <w:rsid w:val="40762716"/>
    <w:rsid w:val="41304981"/>
    <w:rsid w:val="460D1241"/>
    <w:rsid w:val="46B7340D"/>
    <w:rsid w:val="47B07F97"/>
    <w:rsid w:val="48CF2FC6"/>
    <w:rsid w:val="48E22FBD"/>
    <w:rsid w:val="4A3173C1"/>
    <w:rsid w:val="4A4427ED"/>
    <w:rsid w:val="4B053AB3"/>
    <w:rsid w:val="4C4B2255"/>
    <w:rsid w:val="4C6E7FDF"/>
    <w:rsid w:val="4D4D29C9"/>
    <w:rsid w:val="4F44082E"/>
    <w:rsid w:val="4F7F41D9"/>
    <w:rsid w:val="4FFF1B17"/>
    <w:rsid w:val="50AE69F3"/>
    <w:rsid w:val="5109594B"/>
    <w:rsid w:val="54290FAE"/>
    <w:rsid w:val="5466150E"/>
    <w:rsid w:val="555072D9"/>
    <w:rsid w:val="55582062"/>
    <w:rsid w:val="55A97F59"/>
    <w:rsid w:val="563033DC"/>
    <w:rsid w:val="584B1C23"/>
    <w:rsid w:val="610A5B23"/>
    <w:rsid w:val="61911757"/>
    <w:rsid w:val="622D64AE"/>
    <w:rsid w:val="64EE69A8"/>
    <w:rsid w:val="658D066A"/>
    <w:rsid w:val="663201E9"/>
    <w:rsid w:val="67851C90"/>
    <w:rsid w:val="6A0A6D09"/>
    <w:rsid w:val="6A105A1F"/>
    <w:rsid w:val="6B1E757E"/>
    <w:rsid w:val="6B4D7C47"/>
    <w:rsid w:val="6B7A403D"/>
    <w:rsid w:val="6CF35CB1"/>
    <w:rsid w:val="6D283560"/>
    <w:rsid w:val="6E101C13"/>
    <w:rsid w:val="721D1F19"/>
    <w:rsid w:val="72447FD0"/>
    <w:rsid w:val="72517B18"/>
    <w:rsid w:val="774C638F"/>
    <w:rsid w:val="77C606E5"/>
    <w:rsid w:val="7AAF6392"/>
    <w:rsid w:val="7BC20E4F"/>
    <w:rsid w:val="7CC5632C"/>
    <w:rsid w:val="7D437154"/>
    <w:rsid w:val="7D927388"/>
    <w:rsid w:val="7F7F62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19">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34"/>
    <w:qFormat/>
    <w:uiPriority w:val="0"/>
    <w:rPr>
      <w:sz w:val="18"/>
      <w:szCs w:val="18"/>
    </w:rPr>
  </w:style>
  <w:style w:type="paragraph" w:styleId="3">
    <w:name w:val="footer"/>
    <w:basedOn w:val="1"/>
    <w:link w:val="33"/>
    <w:qFormat/>
    <w:uiPriority w:val="99"/>
    <w:pPr>
      <w:tabs>
        <w:tab w:val="center" w:pos="4153"/>
        <w:tab w:val="right" w:pos="8306"/>
      </w:tabs>
      <w:snapToGrid w:val="0"/>
      <w:jc w:val="left"/>
    </w:pPr>
    <w:rPr>
      <w:sz w:val="18"/>
      <w:szCs w:val="18"/>
    </w:rPr>
  </w:style>
  <w:style w:type="paragraph" w:styleId="4">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0"/>
    <w:rPr>
      <w:b/>
    </w:rPr>
  </w:style>
  <w:style w:type="character" w:styleId="8">
    <w:name w:val="FollowedHyperlink"/>
    <w:basedOn w:val="6"/>
    <w:qFormat/>
    <w:uiPriority w:val="0"/>
    <w:rPr>
      <w:color w:val="666666"/>
      <w:u w:val="none"/>
    </w:rPr>
  </w:style>
  <w:style w:type="character" w:styleId="9">
    <w:name w:val="Emphasis"/>
    <w:basedOn w:val="6"/>
    <w:qFormat/>
    <w:uiPriority w:val="0"/>
  </w:style>
  <w:style w:type="character" w:styleId="10">
    <w:name w:val="HTML Definition"/>
    <w:basedOn w:val="6"/>
    <w:qFormat/>
    <w:uiPriority w:val="0"/>
  </w:style>
  <w:style w:type="character" w:styleId="11">
    <w:name w:val="HTML Typewriter"/>
    <w:basedOn w:val="6"/>
    <w:qFormat/>
    <w:uiPriority w:val="0"/>
    <w:rPr>
      <w:rFonts w:hint="default" w:ascii="monospace" w:hAnsi="monospace" w:eastAsia="monospace" w:cs="monospace"/>
      <w:sz w:val="20"/>
    </w:rPr>
  </w:style>
  <w:style w:type="character" w:styleId="12">
    <w:name w:val="HTML Acronym"/>
    <w:basedOn w:val="6"/>
    <w:qFormat/>
    <w:uiPriority w:val="0"/>
  </w:style>
  <w:style w:type="character" w:styleId="13">
    <w:name w:val="HTML Variable"/>
    <w:basedOn w:val="6"/>
    <w:qFormat/>
    <w:uiPriority w:val="0"/>
  </w:style>
  <w:style w:type="character" w:styleId="14">
    <w:name w:val="Hyperlink"/>
    <w:basedOn w:val="6"/>
    <w:qFormat/>
    <w:uiPriority w:val="0"/>
    <w:rPr>
      <w:color w:val="000000"/>
      <w:sz w:val="18"/>
      <w:szCs w:val="18"/>
      <w:u w:val="none"/>
    </w:rPr>
  </w:style>
  <w:style w:type="character" w:styleId="15">
    <w:name w:val="HTML Code"/>
    <w:basedOn w:val="6"/>
    <w:qFormat/>
    <w:uiPriority w:val="0"/>
    <w:rPr>
      <w:rFonts w:ascii="monospace" w:hAnsi="monospace" w:eastAsia="monospace" w:cs="monospace"/>
      <w:sz w:val="20"/>
    </w:rPr>
  </w:style>
  <w:style w:type="character" w:styleId="16">
    <w:name w:val="HTML Cite"/>
    <w:basedOn w:val="6"/>
    <w:qFormat/>
    <w:uiPriority w:val="0"/>
  </w:style>
  <w:style w:type="character" w:styleId="17">
    <w:name w:val="HTML Keyboard"/>
    <w:basedOn w:val="6"/>
    <w:qFormat/>
    <w:uiPriority w:val="0"/>
    <w:rPr>
      <w:rFonts w:hint="default" w:ascii="monospace" w:hAnsi="monospace" w:eastAsia="monospace" w:cs="monospace"/>
      <w:sz w:val="20"/>
    </w:rPr>
  </w:style>
  <w:style w:type="character" w:styleId="18">
    <w:name w:val="HTML Sample"/>
    <w:basedOn w:val="6"/>
    <w:qFormat/>
    <w:uiPriority w:val="0"/>
    <w:rPr>
      <w:rFonts w:hint="default" w:ascii="monospace" w:hAnsi="monospace" w:eastAsia="monospace" w:cs="monospace"/>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1">
    <w:name w:val="text22"/>
    <w:basedOn w:val="6"/>
    <w:qFormat/>
    <w:uiPriority w:val="0"/>
    <w:rPr>
      <w:color w:val="666666"/>
      <w:bdr w:val="single" w:color="CCCCCC" w:sz="6" w:space="0"/>
    </w:rPr>
  </w:style>
  <w:style w:type="character" w:customStyle="1" w:styleId="22">
    <w:name w:val="disabled"/>
    <w:basedOn w:val="6"/>
    <w:qFormat/>
    <w:uiPriority w:val="0"/>
    <w:rPr>
      <w:color w:val="DDDDDD"/>
      <w:bdr w:val="single" w:color="EEEEEE" w:sz="6" w:space="0"/>
    </w:rPr>
  </w:style>
  <w:style w:type="character" w:customStyle="1" w:styleId="23">
    <w:name w:val="current"/>
    <w:basedOn w:val="6"/>
    <w:qFormat/>
    <w:uiPriority w:val="0"/>
    <w:rPr>
      <w:color w:val="FFFFFF"/>
      <w:bdr w:val="single" w:color="0061B4" w:sz="6" w:space="0"/>
      <w:shd w:val="clear" w:color="auto" w:fill="E60012"/>
    </w:rPr>
  </w:style>
  <w:style w:type="character" w:customStyle="1" w:styleId="24">
    <w:name w:val="fr4"/>
    <w:basedOn w:val="6"/>
    <w:qFormat/>
    <w:uiPriority w:val="0"/>
    <w:rPr>
      <w:sz w:val="18"/>
      <w:szCs w:val="18"/>
    </w:rPr>
  </w:style>
  <w:style w:type="character" w:customStyle="1" w:styleId="25">
    <w:name w:val="ip"/>
    <w:basedOn w:val="6"/>
    <w:qFormat/>
    <w:uiPriority w:val="0"/>
  </w:style>
  <w:style w:type="character" w:customStyle="1" w:styleId="26">
    <w:name w:val="span_title"/>
    <w:basedOn w:val="6"/>
    <w:qFormat/>
    <w:uiPriority w:val="0"/>
    <w:rPr>
      <w:shd w:val="clear" w:color="auto" w:fill="DBDBDB"/>
    </w:rPr>
  </w:style>
  <w:style w:type="character" w:customStyle="1" w:styleId="27">
    <w:name w:val="over"/>
    <w:basedOn w:val="6"/>
    <w:qFormat/>
    <w:uiPriority w:val="0"/>
    <w:rPr>
      <w:color w:val="CC0000"/>
    </w:rPr>
  </w:style>
  <w:style w:type="character" w:customStyle="1" w:styleId="28">
    <w:name w:val="now"/>
    <w:basedOn w:val="6"/>
    <w:qFormat/>
    <w:uiPriority w:val="0"/>
    <w:rPr>
      <w:color w:val="CC0000"/>
    </w:rPr>
  </w:style>
  <w:style w:type="character" w:customStyle="1" w:styleId="29">
    <w:name w:val="hover"/>
    <w:basedOn w:val="6"/>
    <w:qFormat/>
    <w:uiPriority w:val="0"/>
    <w:rPr>
      <w:color w:val="FFFFFF"/>
      <w:shd w:val="clear" w:color="auto" w:fill="F9AC00"/>
    </w:rPr>
  </w:style>
  <w:style w:type="character" w:customStyle="1" w:styleId="30">
    <w:name w:val="fontstrikethrough"/>
    <w:basedOn w:val="6"/>
    <w:qFormat/>
    <w:uiPriority w:val="0"/>
    <w:rPr>
      <w:strike/>
    </w:rPr>
  </w:style>
  <w:style w:type="character" w:customStyle="1" w:styleId="31">
    <w:name w:val="fontborder"/>
    <w:basedOn w:val="6"/>
    <w:qFormat/>
    <w:uiPriority w:val="0"/>
    <w:rPr>
      <w:bdr w:val="single" w:color="000000" w:sz="6" w:space="0"/>
    </w:rPr>
  </w:style>
  <w:style w:type="character" w:customStyle="1" w:styleId="32">
    <w:name w:val="页眉 Char"/>
    <w:basedOn w:val="6"/>
    <w:link w:val="4"/>
    <w:qFormat/>
    <w:uiPriority w:val="0"/>
    <w:rPr>
      <w:kern w:val="2"/>
      <w:sz w:val="18"/>
      <w:szCs w:val="18"/>
    </w:rPr>
  </w:style>
  <w:style w:type="character" w:customStyle="1" w:styleId="33">
    <w:name w:val="页脚 Char"/>
    <w:basedOn w:val="6"/>
    <w:link w:val="3"/>
    <w:qFormat/>
    <w:uiPriority w:val="99"/>
    <w:rPr>
      <w:kern w:val="2"/>
      <w:sz w:val="18"/>
      <w:szCs w:val="18"/>
    </w:rPr>
  </w:style>
  <w:style w:type="character" w:customStyle="1" w:styleId="34">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F524CB-E27E-4031-AA88-935915F0161B}">
  <ds:schemaRefs/>
</ds:datastoreItem>
</file>

<file path=docProps/app.xml><?xml version="1.0" encoding="utf-8"?>
<Properties xmlns="http://schemas.openxmlformats.org/officeDocument/2006/extended-properties" xmlns:vt="http://schemas.openxmlformats.org/officeDocument/2006/docPropsVTypes">
  <Template>Normal</Template>
  <Pages>47</Pages>
  <Words>3779</Words>
  <Characters>21543</Characters>
  <Lines>179</Lines>
  <Paragraphs>50</Paragraphs>
  <TotalTime>267</TotalTime>
  <ScaleCrop>false</ScaleCrop>
  <LinksUpToDate>false</LinksUpToDate>
  <CharactersWithSpaces>25272</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2019-07-04T06:17:00Z</dcterms:created>
  <dc:creator>Lenovo</dc:creator>
  <cp:lastModifiedBy>Lenovo</cp:lastModifiedBy>
  <dcterms:modified xsi:type="dcterms:W3CDTF">2019-07-08T08:55:57Z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