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附件</w:t>
      </w: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仿宋_GB2312" w:hAnsi="宋体" w:eastAsia="仿宋_GB2312"/>
          <w:sz w:val="44"/>
          <w:szCs w:val="44"/>
        </w:rPr>
        <w:t>2019年全国信息安全管理员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仿宋_GB2312" w:hAnsi="宋体" w:eastAsia="仿宋_GB2312"/>
          <w:sz w:val="44"/>
          <w:szCs w:val="44"/>
        </w:rPr>
        <w:t>知识与技能竞赛内容大纲</w:t>
      </w: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第一部分 信息安全管理员重点理论知识</w:t>
      </w: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网络安全员理论基础知识涵盖以下内容：</w:t>
      </w:r>
      <w:r>
        <w:rPr>
          <w:rFonts w:hint="eastAsia" w:ascii="仿宋_GB2312" w:hAnsi="黑体" w:eastAsia="仿宋_GB2312"/>
          <w:szCs w:val="32"/>
        </w:rPr>
        <w:t>一是</w:t>
      </w:r>
      <w:r>
        <w:rPr>
          <w:rFonts w:hint="eastAsia" w:ascii="仿宋_GB2312" w:eastAsia="仿宋_GB2312"/>
          <w:szCs w:val="32"/>
        </w:rPr>
        <w:t>《网络安全法》等相关法律法规；</w:t>
      </w:r>
      <w:r>
        <w:rPr>
          <w:rFonts w:hint="eastAsia" w:ascii="仿宋_GB2312" w:hAnsi="黑体" w:eastAsia="仿宋_GB2312"/>
          <w:szCs w:val="32"/>
        </w:rPr>
        <w:t>二是</w:t>
      </w:r>
      <w:r>
        <w:rPr>
          <w:rFonts w:hint="eastAsia" w:ascii="仿宋_GB2312" w:eastAsia="仿宋_GB2312"/>
          <w:szCs w:val="32"/>
        </w:rPr>
        <w:t>中国人民公安大学出版社2018年4月出版的全国信息网络安全专业技术人员继续教育基地培训用书，包括《网络安全管理实践》、《信息安全技术》、《网络安全合规指引》3本；</w:t>
      </w:r>
      <w:r>
        <w:rPr>
          <w:rFonts w:hint="eastAsia" w:ascii="仿宋_GB2312" w:hAnsi="黑体" w:eastAsia="仿宋_GB2312"/>
          <w:szCs w:val="32"/>
        </w:rPr>
        <w:t>三是</w:t>
      </w:r>
      <w:r>
        <w:rPr>
          <w:rFonts w:hint="eastAsia" w:ascii="仿宋_GB2312" w:eastAsia="仿宋_GB2312"/>
          <w:szCs w:val="32"/>
        </w:rPr>
        <w:t>其它网络安全相关知识。</w:t>
      </w: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要求竞赛选手比较系统地掌握上述专业知识的基本概念、基本原理和基本方法，能够综合运用相关基本原理和基本方法分析、判断、解决网络安全相关实际问题。</w:t>
      </w: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76" w:lineRule="exact"/>
        <w:jc w:val="center"/>
        <w:rPr>
          <w:rFonts w:hint="eastAsia"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第二部分 信息安全管理员重点技能要求</w:t>
      </w:r>
    </w:p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</w:rPr>
      </w:pPr>
    </w:p>
    <w:tbl>
      <w:tblPr>
        <w:tblStyle w:val="4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50"/>
        <w:gridCol w:w="1743"/>
        <w:gridCol w:w="6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模块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向</w:t>
            </w:r>
          </w:p>
        </w:tc>
        <w:tc>
          <w:tcPr>
            <w:tcW w:w="62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基础安全模块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网络协议分析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TCP/IP协议分析、HTTP协议分析、其他常见网络协议分析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网络安全设备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防火墙安全配置、IDS安全配置、IPS安全配置、漏洞扫描设备安全配置、WAF安全配置、其他网络安全设备安全配置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常见网络攻击及防护技能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信息泄露攻击及防护、网站访问类攻击及防护、拒绝服务攻击及防护、其他常见攻击及防护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常用工具的使用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网络诊断工具、系统监控工具、漏洞扫描工具、流量分析工具、信息收集工具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主机安全基础知识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访问控制、安全审计、入侵防范、恶意代码防范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运维保障模块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系统安全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主机安全配置，日志审计，应用、web框架、中间件安全，系统漏洞补丁管理，恶意代码（木马、病毒、挖矿、蠕虫），系统权限控制，系统资源监控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网络安全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端口防护，防DDOS、防扫描相关技术，网络隔离，常用网络设备配置与安全加固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应用安全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应用系统防逆向、防篡改（app和网站），网页防暗链，防钓鱼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数据安全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数据备份、数据加解密、数据传输安全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应急处置模块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网络安全事件分析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识别网络安全事件、网络安全事件响应、网络安全事件溯源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入侵检测及防御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入侵行为检测、流量分析与监测、数据分析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日志审计分析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系统日志分析、应用日志分析、数据库日志分析、安全产品日志分析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安全隐患排查（系统和网络）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渗透测试、基线检查、系统漏洞、安全加固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应急处置与取证工具</w:t>
            </w:r>
          </w:p>
        </w:tc>
        <w:tc>
          <w:tcPr>
            <w:tcW w:w="623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应急处置方法、应急处置流程、应急处置与取证工具综合应用</w:t>
            </w:r>
          </w:p>
        </w:tc>
      </w:tr>
    </w:tbl>
    <w:p>
      <w:pPr>
        <w:adjustRightInd w:val="0"/>
        <w:snapToGrid w:val="0"/>
        <w:spacing w:line="576" w:lineRule="exact"/>
        <w:ind w:firstLine="628" w:firstLineChars="200"/>
        <w:rPr>
          <w:rFonts w:hint="eastAsia" w:ascii="仿宋_GB2312" w:eastAsia="仿宋_GB231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276" w:right="1304" w:bottom="1134" w:left="1588" w:header="0" w:footer="794" w:gutter="0"/>
      <w:pgNumType w:fmt="numberInDash"/>
      <w:cols w:space="425" w:num="1"/>
      <w:titlePg/>
      <w:docGrid w:type="linesAndChars" w:linePitch="44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5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1DA1"/>
    <w:rsid w:val="455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长城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2019-05-15T13:07:00Z</dcterms:created>
  <dc:creator>赵梓安</dc:creator>
  <cp:lastModifiedBy>赵梓安</cp:lastModifiedBy>
  <dcterms:modified xsi:type="dcterms:W3CDTF">2019-05-15T13:08:11Z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